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6D21073D" w:rsidR="00A3618F" w:rsidRPr="00A3618F" w:rsidRDefault="00A3618F" w:rsidP="00A3618F">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9E0A46" w:rsidRPr="009E0A46">
        <w:rPr>
          <w:rFonts w:ascii="Times New Roman" w:hAnsi="Times New Roman" w:cs="Times New Roman"/>
          <w:b/>
          <w:noProof/>
          <w:color w:val="004E9A"/>
          <w:sz w:val="40"/>
          <w:szCs w:val="40"/>
          <w:lang w:eastAsia="en-IN"/>
        </w:rPr>
        <w:t>INVESTOR GRIEVANCES REDRESSAL POLICY</w:t>
      </w:r>
      <w:r w:rsidR="009E0A46" w:rsidRPr="00A3618F">
        <w:rPr>
          <w:rFonts w:ascii="Times New Roman" w:hAnsi="Times New Roman" w:cs="Times New Roman"/>
          <w:b/>
          <w:color w:val="004E9A"/>
          <w:sz w:val="40"/>
          <w:szCs w:val="40"/>
        </w:rPr>
        <w:t xml:space="preserve"> </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45116A52"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30F3B2AF"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BA6C35">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Udhna,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43AABCBF" w14:textId="3151E85A" w:rsid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lastRenderedPageBreak/>
        <w:t xml:space="preserve">This Investor Grievances Redressal Policy has been adopted by </w:t>
      </w:r>
      <w:r w:rsidR="00F736E3" w:rsidRPr="00167DD5">
        <w:rPr>
          <w:rFonts w:ascii="Times New Roman" w:hAnsi="Times New Roman" w:cs="Times New Roman"/>
          <w:sz w:val="24"/>
          <w:szCs w:val="24"/>
        </w:rPr>
        <w:t>SME Growth Fund – Series Alpha, the Category-I Alternative Investment Fund (AIF)</w:t>
      </w:r>
      <w:r w:rsidRPr="007F48F9">
        <w:rPr>
          <w:rFonts w:ascii="Times New Roman" w:hAnsi="Times New Roman" w:cs="Times New Roman"/>
          <w:sz w:val="24"/>
          <w:szCs w:val="24"/>
        </w:rPr>
        <w:t xml:space="preserve"> in compliance with the Securities and Exchange Board of India (SEBI) (Alternative Investment Funds) Regulations, 2012 and other applicable guidelines. The objective of this Policy is to establish a robust framework for timely redressal of investor complaints and grievances, ensuring transparency, accountability, and investor protection.</w:t>
      </w:r>
    </w:p>
    <w:p w14:paraId="2719D990" w14:textId="4FFF5DBB" w:rsidR="006B4884" w:rsidRDefault="006B4884" w:rsidP="00E72B3F">
      <w:pPr>
        <w:spacing w:line="360" w:lineRule="auto"/>
        <w:jc w:val="both"/>
        <w:rPr>
          <w:rFonts w:ascii="Times New Roman" w:hAnsi="Times New Roman" w:cs="Times New Roman"/>
          <w:sz w:val="24"/>
          <w:szCs w:val="24"/>
        </w:rPr>
      </w:pPr>
      <w:proofErr w:type="spellStart"/>
      <w:r w:rsidRPr="006B4884">
        <w:rPr>
          <w:rFonts w:ascii="Times New Roman" w:hAnsi="Times New Roman" w:cs="Times New Roman"/>
          <w:sz w:val="24"/>
          <w:szCs w:val="24"/>
        </w:rPr>
        <w:t>Infiply</w:t>
      </w:r>
      <w:proofErr w:type="spellEnd"/>
      <w:r w:rsidRPr="006B4884">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2F7CD011" w14:textId="306B7FFD" w:rsidR="00E72B3F" w:rsidRPr="00E72B3F" w:rsidRDefault="00E72B3F" w:rsidP="00E72B3F">
      <w:pPr>
        <w:spacing w:line="360" w:lineRule="auto"/>
        <w:jc w:val="both"/>
        <w:rPr>
          <w:rFonts w:ascii="Times New Roman" w:hAnsi="Times New Roman" w:cs="Times New Roman"/>
          <w:sz w:val="24"/>
          <w:szCs w:val="24"/>
        </w:rPr>
      </w:pPr>
      <w:r w:rsidRPr="00E72B3F">
        <w:rPr>
          <w:rFonts w:ascii="Times New Roman" w:hAnsi="Times New Roman" w:cs="Times New Roman"/>
          <w:sz w:val="24"/>
          <w:szCs w:val="24"/>
        </w:rPr>
        <w:t>The Grievance Redressal policy outlines the grievance handling process through a structured grievance redressal framework. Investor inquiries and complaints are a significant voice for the Investors and a prompt and effective service is crucial for maintaining existing partnerships. LLP has established principles and framework to handle both queries and grievances to ensure that</w:t>
      </w:r>
    </w:p>
    <w:p w14:paraId="6246F749" w14:textId="14973969" w:rsidR="00E72B3F" w:rsidRPr="00E72B3F" w:rsidRDefault="00E72B3F" w:rsidP="00E72B3F">
      <w:pPr>
        <w:pStyle w:val="ListParagraph"/>
        <w:numPr>
          <w:ilvl w:val="0"/>
          <w:numId w:val="9"/>
        </w:numPr>
        <w:spacing w:line="360" w:lineRule="auto"/>
        <w:ind w:left="426" w:hanging="426"/>
        <w:jc w:val="both"/>
        <w:rPr>
          <w:rFonts w:ascii="Times New Roman" w:hAnsi="Times New Roman" w:cs="Times New Roman"/>
          <w:sz w:val="24"/>
          <w:szCs w:val="24"/>
        </w:rPr>
      </w:pPr>
      <w:r w:rsidRPr="00E72B3F">
        <w:rPr>
          <w:rFonts w:ascii="Times New Roman" w:hAnsi="Times New Roman" w:cs="Times New Roman"/>
          <w:sz w:val="24"/>
          <w:szCs w:val="24"/>
        </w:rPr>
        <w:t>All Investors are treated in a fair and equitable manner.</w:t>
      </w:r>
    </w:p>
    <w:p w14:paraId="5789A6ED" w14:textId="414EFDC3" w:rsidR="00E72B3F" w:rsidRPr="00E72B3F" w:rsidRDefault="00E72B3F" w:rsidP="00E72B3F">
      <w:pPr>
        <w:pStyle w:val="ListParagraph"/>
        <w:numPr>
          <w:ilvl w:val="0"/>
          <w:numId w:val="9"/>
        </w:numPr>
        <w:spacing w:line="360" w:lineRule="auto"/>
        <w:ind w:left="426" w:hanging="426"/>
        <w:jc w:val="both"/>
        <w:rPr>
          <w:rFonts w:ascii="Times New Roman" w:hAnsi="Times New Roman" w:cs="Times New Roman"/>
          <w:sz w:val="24"/>
          <w:szCs w:val="24"/>
        </w:rPr>
      </w:pPr>
      <w:r w:rsidRPr="00E72B3F">
        <w:rPr>
          <w:rFonts w:ascii="Times New Roman" w:hAnsi="Times New Roman" w:cs="Times New Roman"/>
          <w:sz w:val="24"/>
          <w:szCs w:val="24"/>
        </w:rPr>
        <w:t>Complaints raised by Investors are dealt in a time bound manner.</w:t>
      </w:r>
    </w:p>
    <w:p w14:paraId="56D5B228" w14:textId="313A80EF" w:rsidR="00E72B3F" w:rsidRPr="00E72B3F" w:rsidRDefault="00E72B3F" w:rsidP="00E72B3F">
      <w:pPr>
        <w:pStyle w:val="ListParagraph"/>
        <w:numPr>
          <w:ilvl w:val="0"/>
          <w:numId w:val="9"/>
        </w:numPr>
        <w:spacing w:line="360" w:lineRule="auto"/>
        <w:ind w:left="426" w:hanging="426"/>
        <w:jc w:val="both"/>
        <w:rPr>
          <w:rFonts w:ascii="Times New Roman" w:hAnsi="Times New Roman" w:cs="Times New Roman"/>
          <w:sz w:val="24"/>
          <w:szCs w:val="24"/>
        </w:rPr>
      </w:pPr>
      <w:r w:rsidRPr="00E72B3F">
        <w:rPr>
          <w:rFonts w:ascii="Times New Roman" w:hAnsi="Times New Roman" w:cs="Times New Roman"/>
          <w:sz w:val="24"/>
          <w:szCs w:val="24"/>
        </w:rPr>
        <w:t>Investors are provided with information on how to raise their issues and complaints and escalate if they are not satisfied with the resolution or handling.</w:t>
      </w:r>
    </w:p>
    <w:p w14:paraId="191A0630" w14:textId="140435C3" w:rsidR="00E72B3F" w:rsidRPr="00E72B3F" w:rsidRDefault="00E72B3F" w:rsidP="00E72B3F">
      <w:pPr>
        <w:pStyle w:val="ListParagraph"/>
        <w:numPr>
          <w:ilvl w:val="0"/>
          <w:numId w:val="9"/>
        </w:numPr>
        <w:spacing w:line="360" w:lineRule="auto"/>
        <w:ind w:left="426" w:hanging="426"/>
        <w:jc w:val="both"/>
        <w:rPr>
          <w:rFonts w:ascii="Times New Roman" w:hAnsi="Times New Roman" w:cs="Times New Roman"/>
          <w:sz w:val="24"/>
          <w:szCs w:val="24"/>
        </w:rPr>
      </w:pPr>
      <w:r w:rsidRPr="00E72B3F">
        <w:rPr>
          <w:rFonts w:ascii="Times New Roman" w:hAnsi="Times New Roman" w:cs="Times New Roman"/>
          <w:sz w:val="24"/>
          <w:szCs w:val="24"/>
        </w:rPr>
        <w:t>A dedicated Customer Services Team is in place to handle customer queries and complaints. The process is supervised by a senior resource.</w:t>
      </w:r>
    </w:p>
    <w:p w14:paraId="0817D437" w14:textId="77777777" w:rsidR="007F48F9" w:rsidRPr="00860E44" w:rsidRDefault="007F48F9" w:rsidP="007F48F9">
      <w:pPr>
        <w:spacing w:line="360" w:lineRule="auto"/>
        <w:jc w:val="both"/>
        <w:rPr>
          <w:rFonts w:ascii="Times New Roman" w:hAnsi="Times New Roman" w:cs="Times New Roman"/>
          <w:b/>
          <w:sz w:val="24"/>
          <w:szCs w:val="24"/>
        </w:rPr>
      </w:pPr>
      <w:r w:rsidRPr="00860E44">
        <w:rPr>
          <w:rFonts w:ascii="Times New Roman" w:hAnsi="Times New Roman" w:cs="Times New Roman"/>
          <w:b/>
          <w:sz w:val="24"/>
          <w:szCs w:val="24"/>
        </w:rPr>
        <w:t>1. Objectives</w:t>
      </w:r>
    </w:p>
    <w:p w14:paraId="1534F9E1" w14:textId="77777777" w:rsidR="007F48F9" w:rsidRP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t>The objectives of this Investor Grievances Policy are as follows:</w:t>
      </w:r>
    </w:p>
    <w:p w14:paraId="2C62F38C" w14:textId="213867FA" w:rsidR="007F48F9" w:rsidRDefault="007F48F9" w:rsidP="00860E44">
      <w:pPr>
        <w:pStyle w:val="ListParagraph"/>
        <w:numPr>
          <w:ilvl w:val="0"/>
          <w:numId w:val="5"/>
        </w:numPr>
        <w:spacing w:line="360" w:lineRule="auto"/>
        <w:ind w:left="450" w:hanging="450"/>
        <w:jc w:val="both"/>
        <w:rPr>
          <w:rFonts w:ascii="Times New Roman" w:hAnsi="Times New Roman" w:cs="Times New Roman"/>
          <w:sz w:val="24"/>
          <w:szCs w:val="24"/>
        </w:rPr>
      </w:pPr>
      <w:r w:rsidRPr="00860E44">
        <w:rPr>
          <w:rFonts w:ascii="Times New Roman" w:hAnsi="Times New Roman" w:cs="Times New Roman"/>
          <w:sz w:val="24"/>
          <w:szCs w:val="24"/>
        </w:rPr>
        <w:t>To provide investors with a fair, transparent, and efficient mechanism for grievance redressal.</w:t>
      </w:r>
    </w:p>
    <w:p w14:paraId="6B260E49" w14:textId="43E818C1" w:rsidR="007F48F9" w:rsidRDefault="007F48F9" w:rsidP="00860E44">
      <w:pPr>
        <w:pStyle w:val="ListParagraph"/>
        <w:numPr>
          <w:ilvl w:val="0"/>
          <w:numId w:val="5"/>
        </w:numPr>
        <w:spacing w:line="360" w:lineRule="auto"/>
        <w:ind w:left="450" w:hanging="450"/>
        <w:jc w:val="both"/>
        <w:rPr>
          <w:rFonts w:ascii="Times New Roman" w:hAnsi="Times New Roman" w:cs="Times New Roman"/>
          <w:sz w:val="24"/>
          <w:szCs w:val="24"/>
        </w:rPr>
      </w:pPr>
      <w:r w:rsidRPr="00860E44">
        <w:rPr>
          <w:rFonts w:ascii="Times New Roman" w:hAnsi="Times New Roman" w:cs="Times New Roman"/>
          <w:sz w:val="24"/>
          <w:szCs w:val="24"/>
        </w:rPr>
        <w:t>To ensure timely resolution of investor complaints.</w:t>
      </w:r>
    </w:p>
    <w:p w14:paraId="2DFEEADA" w14:textId="5A5B9BAB" w:rsidR="007F48F9" w:rsidRDefault="007F48F9" w:rsidP="00860E44">
      <w:pPr>
        <w:pStyle w:val="ListParagraph"/>
        <w:numPr>
          <w:ilvl w:val="0"/>
          <w:numId w:val="5"/>
        </w:numPr>
        <w:spacing w:line="360" w:lineRule="auto"/>
        <w:ind w:left="450" w:hanging="450"/>
        <w:jc w:val="both"/>
        <w:rPr>
          <w:rFonts w:ascii="Times New Roman" w:hAnsi="Times New Roman" w:cs="Times New Roman"/>
          <w:sz w:val="24"/>
          <w:szCs w:val="24"/>
        </w:rPr>
      </w:pPr>
      <w:r w:rsidRPr="00860E44">
        <w:rPr>
          <w:rFonts w:ascii="Times New Roman" w:hAnsi="Times New Roman" w:cs="Times New Roman"/>
          <w:sz w:val="24"/>
          <w:szCs w:val="24"/>
        </w:rPr>
        <w:t>To comply with SEBI regulations and guidelines regarding investor protection.</w:t>
      </w:r>
    </w:p>
    <w:p w14:paraId="27846911" w14:textId="75C13B44" w:rsidR="007F48F9" w:rsidRPr="00860E44" w:rsidRDefault="007F48F9" w:rsidP="00860E44">
      <w:pPr>
        <w:pStyle w:val="ListParagraph"/>
        <w:numPr>
          <w:ilvl w:val="0"/>
          <w:numId w:val="5"/>
        </w:numPr>
        <w:spacing w:line="360" w:lineRule="auto"/>
        <w:ind w:left="450" w:hanging="450"/>
        <w:jc w:val="both"/>
        <w:rPr>
          <w:rFonts w:ascii="Times New Roman" w:hAnsi="Times New Roman" w:cs="Times New Roman"/>
          <w:sz w:val="24"/>
          <w:szCs w:val="24"/>
        </w:rPr>
      </w:pPr>
      <w:r w:rsidRPr="00860E44">
        <w:rPr>
          <w:rFonts w:ascii="Times New Roman" w:hAnsi="Times New Roman" w:cs="Times New Roman"/>
          <w:sz w:val="24"/>
          <w:szCs w:val="24"/>
        </w:rPr>
        <w:t>To maintain investor confidence by addressing their concerns effectively.</w:t>
      </w:r>
    </w:p>
    <w:p w14:paraId="1DBF69AD" w14:textId="77777777" w:rsidR="007F48F9" w:rsidRPr="00293458" w:rsidRDefault="007F48F9" w:rsidP="007F48F9">
      <w:pPr>
        <w:spacing w:line="360" w:lineRule="auto"/>
        <w:jc w:val="both"/>
        <w:rPr>
          <w:rFonts w:ascii="Times New Roman" w:hAnsi="Times New Roman" w:cs="Times New Roman"/>
          <w:b/>
          <w:sz w:val="24"/>
          <w:szCs w:val="24"/>
        </w:rPr>
      </w:pPr>
      <w:r w:rsidRPr="00293458">
        <w:rPr>
          <w:rFonts w:ascii="Times New Roman" w:hAnsi="Times New Roman" w:cs="Times New Roman"/>
          <w:b/>
          <w:sz w:val="24"/>
          <w:szCs w:val="24"/>
        </w:rPr>
        <w:t>2. Scope</w:t>
      </w:r>
    </w:p>
    <w:p w14:paraId="5345C3AD" w14:textId="77777777" w:rsidR="007F48F9" w:rsidRP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lastRenderedPageBreak/>
        <w:t>This Policy applies to all investors of the AIF and covers grievances arising out of any business or investment-related activities, including but not limited to fund operations, disclosures, investor reporting, and service-related matters.</w:t>
      </w:r>
    </w:p>
    <w:p w14:paraId="367095AC" w14:textId="77777777" w:rsidR="007F48F9" w:rsidRPr="00293458" w:rsidRDefault="007F48F9" w:rsidP="007F48F9">
      <w:pPr>
        <w:spacing w:line="360" w:lineRule="auto"/>
        <w:jc w:val="both"/>
        <w:rPr>
          <w:rFonts w:ascii="Times New Roman" w:hAnsi="Times New Roman" w:cs="Times New Roman"/>
          <w:b/>
          <w:sz w:val="24"/>
          <w:szCs w:val="24"/>
        </w:rPr>
      </w:pPr>
      <w:r w:rsidRPr="00293458">
        <w:rPr>
          <w:rFonts w:ascii="Times New Roman" w:hAnsi="Times New Roman" w:cs="Times New Roman"/>
          <w:b/>
          <w:sz w:val="24"/>
          <w:szCs w:val="24"/>
        </w:rPr>
        <w:t>3. Grievance Redressal Mechanism</w:t>
      </w:r>
    </w:p>
    <w:p w14:paraId="3B3E6007" w14:textId="79CB9DF4" w:rsidR="005C7FB6" w:rsidRPr="005C7FB6"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Investors are entitled to make a complaint in writing, orally or telephonically directly to LLP. Investors that are serviced by their independent advisors or distributors can also raise their complaints through their advisors and distributors.</w:t>
      </w:r>
    </w:p>
    <w:p w14:paraId="2FC3B3AC" w14:textId="136D7328" w:rsidR="005C7FB6" w:rsidRPr="005C7FB6"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It is mandatory for the Investor having grievance to take up the matter directly with LLP at first place.</w:t>
      </w:r>
    </w:p>
    <w:p w14:paraId="3A9F049F" w14:textId="09B597C3" w:rsidR="005C7FB6" w:rsidRPr="005C7FB6"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For complaints related to AIF, the Investors can directly reach LLP through email at</w:t>
      </w:r>
      <w:r>
        <w:rPr>
          <w:rFonts w:ascii="Times New Roman" w:hAnsi="Times New Roman" w:cs="Times New Roman"/>
          <w:sz w:val="24"/>
          <w:szCs w:val="24"/>
        </w:rPr>
        <w:t xml:space="preserve"> compliance@infiplyfund.com</w:t>
      </w:r>
      <w:r w:rsidR="00B01991">
        <w:rPr>
          <w:rFonts w:ascii="Times New Roman" w:hAnsi="Times New Roman" w:cs="Times New Roman"/>
          <w:sz w:val="24"/>
          <w:szCs w:val="24"/>
        </w:rPr>
        <w:t>.</w:t>
      </w:r>
    </w:p>
    <w:p w14:paraId="48C2C1F5" w14:textId="6A64484C" w:rsidR="005C7FB6" w:rsidRPr="00FC24BA" w:rsidRDefault="005C7FB6" w:rsidP="00FC24BA">
      <w:pPr>
        <w:pStyle w:val="ListParagraph"/>
        <w:numPr>
          <w:ilvl w:val="0"/>
          <w:numId w:val="7"/>
        </w:numPr>
        <w:spacing w:line="360" w:lineRule="auto"/>
        <w:jc w:val="both"/>
        <w:rPr>
          <w:rFonts w:ascii="Times New Roman" w:hAnsi="Times New Roman" w:cs="Times New Roman"/>
          <w:sz w:val="24"/>
          <w:szCs w:val="24"/>
        </w:rPr>
      </w:pPr>
      <w:r w:rsidRPr="00B01991">
        <w:rPr>
          <w:rFonts w:ascii="Times New Roman" w:hAnsi="Times New Roman" w:cs="Times New Roman"/>
          <w:sz w:val="24"/>
          <w:szCs w:val="24"/>
        </w:rPr>
        <w:t>Investors can contact LLP through telephone at:</w:t>
      </w:r>
      <w:r w:rsidR="00B01991">
        <w:rPr>
          <w:rFonts w:ascii="Times New Roman" w:hAnsi="Times New Roman" w:cs="Times New Roman"/>
          <w:sz w:val="24"/>
          <w:szCs w:val="24"/>
        </w:rPr>
        <w:t xml:space="preserve"> </w:t>
      </w:r>
      <w:r w:rsidRPr="00B01991">
        <w:rPr>
          <w:rFonts w:ascii="Times New Roman" w:hAnsi="Times New Roman" w:cs="Times New Roman"/>
          <w:sz w:val="24"/>
          <w:szCs w:val="24"/>
        </w:rPr>
        <w:t xml:space="preserve">+91 </w:t>
      </w:r>
      <w:r w:rsidR="00B01991">
        <w:rPr>
          <w:rFonts w:ascii="Times New Roman" w:hAnsi="Times New Roman" w:cs="Times New Roman"/>
          <w:sz w:val="24"/>
          <w:szCs w:val="24"/>
        </w:rPr>
        <w:t>9327508480</w:t>
      </w:r>
    </w:p>
    <w:p w14:paraId="7297AD64" w14:textId="469FAF14" w:rsidR="005C7FB6" w:rsidRPr="005C7FB6"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 xml:space="preserve">Investors can send letters to LLP at: </w:t>
      </w:r>
      <w:r w:rsidR="00FC24BA" w:rsidRPr="00FC24BA">
        <w:rPr>
          <w:rFonts w:ascii="Times New Roman" w:hAnsi="Times New Roman" w:cs="Times New Roman"/>
          <w:sz w:val="24"/>
          <w:szCs w:val="24"/>
        </w:rPr>
        <w:t>Office 60</w:t>
      </w:r>
      <w:r w:rsidR="00FC24BA">
        <w:rPr>
          <w:rFonts w:ascii="Times New Roman" w:hAnsi="Times New Roman" w:cs="Times New Roman"/>
          <w:sz w:val="24"/>
          <w:szCs w:val="24"/>
        </w:rPr>
        <w:t>6</w:t>
      </w:r>
      <w:r w:rsidR="00FC24BA" w:rsidRPr="00FC24BA">
        <w:rPr>
          <w:rFonts w:ascii="Times New Roman" w:hAnsi="Times New Roman" w:cs="Times New Roman"/>
          <w:sz w:val="24"/>
          <w:szCs w:val="24"/>
        </w:rPr>
        <w:t>-60</w:t>
      </w:r>
      <w:r w:rsidR="00FC24BA">
        <w:rPr>
          <w:rFonts w:ascii="Times New Roman" w:hAnsi="Times New Roman" w:cs="Times New Roman"/>
          <w:sz w:val="24"/>
          <w:szCs w:val="24"/>
        </w:rPr>
        <w:t>7</w:t>
      </w:r>
      <w:r w:rsidR="00FC24BA" w:rsidRPr="00FC24BA">
        <w:rPr>
          <w:rFonts w:ascii="Times New Roman" w:hAnsi="Times New Roman" w:cs="Times New Roman"/>
          <w:sz w:val="24"/>
          <w:szCs w:val="24"/>
        </w:rPr>
        <w:t xml:space="preserve">, 6th Floor, </w:t>
      </w:r>
      <w:proofErr w:type="spellStart"/>
      <w:r w:rsidR="00FC24BA" w:rsidRPr="00FC24BA">
        <w:rPr>
          <w:rFonts w:ascii="Times New Roman" w:hAnsi="Times New Roman" w:cs="Times New Roman"/>
          <w:sz w:val="24"/>
          <w:szCs w:val="24"/>
        </w:rPr>
        <w:t>Nathubhai</w:t>
      </w:r>
      <w:proofErr w:type="spellEnd"/>
      <w:r w:rsidR="00FC24BA" w:rsidRPr="00FC24BA">
        <w:rPr>
          <w:rFonts w:ascii="Times New Roman" w:hAnsi="Times New Roman" w:cs="Times New Roman"/>
          <w:sz w:val="24"/>
          <w:szCs w:val="24"/>
        </w:rPr>
        <w:t xml:space="preserve"> Tower, </w:t>
      </w:r>
      <w:proofErr w:type="spellStart"/>
      <w:r w:rsidR="00FC24BA" w:rsidRPr="00FC24BA">
        <w:rPr>
          <w:rFonts w:ascii="Times New Roman" w:hAnsi="Times New Roman" w:cs="Times New Roman"/>
          <w:sz w:val="24"/>
          <w:szCs w:val="24"/>
        </w:rPr>
        <w:t>Udhna</w:t>
      </w:r>
      <w:proofErr w:type="spellEnd"/>
      <w:r w:rsidR="00FC24BA" w:rsidRPr="00FC24BA">
        <w:rPr>
          <w:rFonts w:ascii="Times New Roman" w:hAnsi="Times New Roman" w:cs="Times New Roman"/>
          <w:sz w:val="24"/>
          <w:szCs w:val="24"/>
        </w:rPr>
        <w:t>, Surat, Gujarat, India, 394210</w:t>
      </w:r>
    </w:p>
    <w:p w14:paraId="20C60820" w14:textId="116000AC" w:rsidR="005C7FB6" w:rsidRPr="00C50758" w:rsidRDefault="005C7FB6" w:rsidP="00C50758">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 xml:space="preserve">LLP shall endeavour to redress the Investor complaint(s) within </w:t>
      </w:r>
      <w:proofErr w:type="spellStart"/>
      <w:r w:rsidRPr="005C7FB6">
        <w:rPr>
          <w:rFonts w:ascii="Times New Roman" w:hAnsi="Times New Roman" w:cs="Times New Roman"/>
          <w:sz w:val="24"/>
          <w:szCs w:val="24"/>
        </w:rPr>
        <w:t>within</w:t>
      </w:r>
      <w:proofErr w:type="spellEnd"/>
      <w:r w:rsidRPr="005C7FB6">
        <w:rPr>
          <w:rFonts w:ascii="Times New Roman" w:hAnsi="Times New Roman" w:cs="Times New Roman"/>
          <w:sz w:val="24"/>
          <w:szCs w:val="24"/>
        </w:rPr>
        <w:t xml:space="preserve"> 30 (thirty) calendar days from the date of the receipt of the complaint by LLP.</w:t>
      </w:r>
    </w:p>
    <w:p w14:paraId="68327F9A" w14:textId="77777777" w:rsidR="005C7FB6" w:rsidRPr="005C7FB6"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If Investors are still not satisfied with the response from LLP, they can lodge their grievances with SEBI at SCORES 2.0 portal (https://scores.sebi.gov.in/) or may also write to any of the offices of SEBI or contact SEBI Office on Toll Free Helpline at 1800 266 7575 / 1800 22 7575. The complaint shall be lodged on SCORES within one year from the date of cause of action, where the complainant has approached LLP, for redressal of the complaint and</w:t>
      </w:r>
    </w:p>
    <w:p w14:paraId="745617D3" w14:textId="77777777" w:rsidR="005C7FB6" w:rsidRPr="005C7FB6" w:rsidRDefault="005C7FB6" w:rsidP="00C50758">
      <w:pPr>
        <w:pStyle w:val="ListParagraph"/>
        <w:numPr>
          <w:ilvl w:val="0"/>
          <w:numId w:val="10"/>
        </w:numPr>
        <w:spacing w:line="360" w:lineRule="auto"/>
        <w:ind w:left="1134" w:hanging="153"/>
        <w:jc w:val="both"/>
        <w:rPr>
          <w:rFonts w:ascii="Times New Roman" w:hAnsi="Times New Roman" w:cs="Times New Roman"/>
          <w:sz w:val="24"/>
          <w:szCs w:val="24"/>
        </w:rPr>
      </w:pPr>
      <w:r w:rsidRPr="005C7FB6">
        <w:rPr>
          <w:rFonts w:ascii="Times New Roman" w:hAnsi="Times New Roman" w:cs="Times New Roman"/>
          <w:sz w:val="24"/>
          <w:szCs w:val="24"/>
        </w:rPr>
        <w:t>LLP has rejected the complaint or,</w:t>
      </w:r>
    </w:p>
    <w:p w14:paraId="0D9E4A5D" w14:textId="77777777" w:rsidR="00C50758" w:rsidRDefault="005C7FB6" w:rsidP="00C50758">
      <w:pPr>
        <w:pStyle w:val="ListParagraph"/>
        <w:numPr>
          <w:ilvl w:val="0"/>
          <w:numId w:val="10"/>
        </w:numPr>
        <w:spacing w:line="360" w:lineRule="auto"/>
        <w:ind w:left="1134" w:hanging="153"/>
        <w:jc w:val="both"/>
        <w:rPr>
          <w:rFonts w:ascii="Times New Roman" w:hAnsi="Times New Roman" w:cs="Times New Roman"/>
          <w:sz w:val="24"/>
          <w:szCs w:val="24"/>
        </w:rPr>
      </w:pPr>
      <w:r w:rsidRPr="005C7FB6">
        <w:rPr>
          <w:rFonts w:ascii="Times New Roman" w:hAnsi="Times New Roman" w:cs="Times New Roman"/>
          <w:sz w:val="24"/>
          <w:szCs w:val="24"/>
        </w:rPr>
        <w:t>The complainant has not received any communication from LLP or,</w:t>
      </w:r>
    </w:p>
    <w:p w14:paraId="0007F67C" w14:textId="278A48D6" w:rsidR="005C7FB6" w:rsidRPr="00C50758" w:rsidRDefault="005C7FB6" w:rsidP="00C50758">
      <w:pPr>
        <w:pStyle w:val="ListParagraph"/>
        <w:numPr>
          <w:ilvl w:val="0"/>
          <w:numId w:val="10"/>
        </w:numPr>
        <w:spacing w:line="360" w:lineRule="auto"/>
        <w:ind w:left="1418" w:hanging="437"/>
        <w:jc w:val="both"/>
        <w:rPr>
          <w:rFonts w:ascii="Times New Roman" w:hAnsi="Times New Roman" w:cs="Times New Roman"/>
          <w:sz w:val="24"/>
          <w:szCs w:val="24"/>
        </w:rPr>
      </w:pPr>
      <w:r w:rsidRPr="00C50758">
        <w:rPr>
          <w:rFonts w:ascii="Times New Roman" w:hAnsi="Times New Roman" w:cs="Times New Roman"/>
          <w:sz w:val="24"/>
          <w:szCs w:val="24"/>
        </w:rPr>
        <w:t>The complainant is not satisfied with the reply received or the redressal action</w:t>
      </w:r>
      <w:r w:rsidR="00C50758" w:rsidRPr="00C50758">
        <w:rPr>
          <w:rFonts w:ascii="Times New Roman" w:hAnsi="Times New Roman" w:cs="Times New Roman"/>
          <w:sz w:val="24"/>
          <w:szCs w:val="24"/>
        </w:rPr>
        <w:t xml:space="preserve"> </w:t>
      </w:r>
      <w:r w:rsidRPr="00C50758">
        <w:rPr>
          <w:rFonts w:ascii="Times New Roman" w:hAnsi="Times New Roman" w:cs="Times New Roman"/>
          <w:sz w:val="24"/>
          <w:szCs w:val="24"/>
        </w:rPr>
        <w:t>taken by</w:t>
      </w:r>
      <w:r w:rsidR="00C50758" w:rsidRPr="00C50758">
        <w:rPr>
          <w:rFonts w:ascii="Times New Roman" w:hAnsi="Times New Roman" w:cs="Times New Roman"/>
          <w:sz w:val="24"/>
          <w:szCs w:val="24"/>
        </w:rPr>
        <w:t xml:space="preserve"> </w:t>
      </w:r>
      <w:r w:rsidRPr="00C50758">
        <w:rPr>
          <w:rFonts w:ascii="Times New Roman" w:hAnsi="Times New Roman" w:cs="Times New Roman"/>
          <w:sz w:val="24"/>
          <w:szCs w:val="24"/>
        </w:rPr>
        <w:t>LLP.</w:t>
      </w:r>
    </w:p>
    <w:p w14:paraId="7B8738F4" w14:textId="77777777" w:rsidR="00620DB7"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 xml:space="preserve">SCORES may be accessed through SCORES mobile application as well, same can be downloaded from below link: </w:t>
      </w:r>
    </w:p>
    <w:p w14:paraId="0BE98A66" w14:textId="7FA5E3B5" w:rsidR="005C7FB6" w:rsidRPr="00620DB7" w:rsidRDefault="005C7FB6" w:rsidP="00620DB7">
      <w:pPr>
        <w:pStyle w:val="ListParagraph"/>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https://play.google.com/store/apps/details?id=com.sebi&amp;pli=1 https://apps.apple.com/in/app/sebiscores/id6478849917</w:t>
      </w:r>
    </w:p>
    <w:p w14:paraId="575D744B" w14:textId="5127665C"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 xml:space="preserve">LLP shall submit an Action Taken Report (“ATR”) on SCORES within 30 Calendar days. If Client is not satisfied with the Redressal or no ATR has been filed within above </w:t>
      </w:r>
      <w:r w:rsidRPr="005C7FB6">
        <w:rPr>
          <w:rFonts w:ascii="Times New Roman" w:hAnsi="Times New Roman" w:cs="Times New Roman"/>
          <w:sz w:val="24"/>
          <w:szCs w:val="24"/>
        </w:rPr>
        <w:lastRenderedPageBreak/>
        <w:t xml:space="preserve">mentioned days by the LLP, then the client can opt for 1st review within 15 days. Thereafter, the complaint shall be escalated to the Designated body. </w:t>
      </w:r>
    </w:p>
    <w:p w14:paraId="2952ABC3" w14:textId="4CAD3B02"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The Designated Body shall seek clarification from LLP or the client, as required. Once the designated body has received the clarification then they shall upload the revised ATR on SCORES within 10 days.</w:t>
      </w:r>
    </w:p>
    <w:p w14:paraId="42DEC473" w14:textId="6181AEDF"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If Complainant is not satisfied with the 1st review or ATR is not uploaded by the designated body in 10 days, then the Complainant can opt for 2nd review within 15 days. Thereafter, the complaint shall be escalated to supervising official of the dealing officer of SEBI and he shall seek clarifications from the LLP or the client for the same.</w:t>
      </w:r>
    </w:p>
    <w:p w14:paraId="1FBDA4B8" w14:textId="7033085D"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If satisfied, SEBI shall dispose the Complaint with reasonable closure remarks &amp; if not satisfied then SEBI shall advice the client to opt for Online Dispute Resolution by registering the compliant on Online Dispute Resolution Portal (“ODR Portal”) at https://smartodr.in/login</w:t>
      </w:r>
    </w:p>
    <w:p w14:paraId="36A42FBD" w14:textId="5DC2F7EB"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Alternatively, the client can directly initiate dispute resolution through the ODR Portal if the grievance lodged with LLP is not satisfactorily resolved or at any stage of the subsequent escalations mentioned above.</w:t>
      </w:r>
    </w:p>
    <w:p w14:paraId="4064AF46" w14:textId="5D6B8A90" w:rsidR="005C7FB6" w:rsidRPr="00620DB7" w:rsidRDefault="005C7FB6" w:rsidP="00620DB7">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The dispute resolution through the ODR Portal can be initiated when the complaint/dispute is not under consideration in SCOREs guidelines or not pending before any arbitral process, court, tribunal or consumer forum or are non-arbitrable in terms of Indian law.</w:t>
      </w:r>
    </w:p>
    <w:p w14:paraId="5E6D5CBE" w14:textId="78B971F6" w:rsidR="007F48F9" w:rsidRPr="009E17F1" w:rsidRDefault="005C7FB6" w:rsidP="005C7FB6">
      <w:pPr>
        <w:pStyle w:val="ListParagraph"/>
        <w:numPr>
          <w:ilvl w:val="0"/>
          <w:numId w:val="7"/>
        </w:numPr>
        <w:spacing w:line="360" w:lineRule="auto"/>
        <w:jc w:val="both"/>
        <w:rPr>
          <w:rFonts w:ascii="Times New Roman" w:hAnsi="Times New Roman" w:cs="Times New Roman"/>
          <w:sz w:val="24"/>
          <w:szCs w:val="24"/>
        </w:rPr>
      </w:pPr>
      <w:r w:rsidRPr="005C7FB6">
        <w:rPr>
          <w:rFonts w:ascii="Times New Roman" w:hAnsi="Times New Roman" w:cs="Times New Roman"/>
          <w:sz w:val="24"/>
          <w:szCs w:val="24"/>
        </w:rPr>
        <w:t>The process on Online Dispute Resolution Mechanism is available at</w:t>
      </w:r>
      <w:r w:rsidR="00620DB7">
        <w:rPr>
          <w:rFonts w:ascii="Times New Roman" w:hAnsi="Times New Roman" w:cs="Times New Roman"/>
          <w:sz w:val="24"/>
          <w:szCs w:val="24"/>
        </w:rPr>
        <w:t xml:space="preserve"> www.infiplyfund.com</w:t>
      </w:r>
      <w:r w:rsidR="00923989">
        <w:rPr>
          <w:rFonts w:ascii="Times New Roman" w:hAnsi="Times New Roman" w:cs="Times New Roman"/>
          <w:sz w:val="24"/>
          <w:szCs w:val="24"/>
        </w:rPr>
        <w:t>.</w:t>
      </w:r>
    </w:p>
    <w:p w14:paraId="58CC8200" w14:textId="3BE727EA" w:rsidR="008D0427" w:rsidRDefault="008D0427" w:rsidP="007F48F9">
      <w:pPr>
        <w:spacing w:line="360" w:lineRule="auto"/>
        <w:jc w:val="both"/>
        <w:rPr>
          <w:rFonts w:ascii="Times New Roman" w:hAnsi="Times New Roman" w:cs="Times New Roman"/>
          <w:b/>
          <w:sz w:val="24"/>
          <w:szCs w:val="24"/>
        </w:rPr>
      </w:pPr>
      <w:r w:rsidRPr="001E5BF3">
        <w:rPr>
          <w:rFonts w:ascii="Times New Roman" w:hAnsi="Times New Roman" w:cs="Times New Roman"/>
          <w:b/>
          <w:sz w:val="24"/>
          <w:szCs w:val="24"/>
        </w:rPr>
        <w:t xml:space="preserve">5. </w:t>
      </w:r>
      <w:r w:rsidR="007B467A" w:rsidRPr="007B467A">
        <w:rPr>
          <w:rFonts w:ascii="Times New Roman" w:hAnsi="Times New Roman" w:cs="Times New Roman"/>
          <w:b/>
          <w:sz w:val="24"/>
          <w:szCs w:val="24"/>
        </w:rPr>
        <w:t>Process to register a complaint</w:t>
      </w:r>
    </w:p>
    <w:p w14:paraId="21BD7335" w14:textId="48AAE8C4"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Cs/>
          <w:sz w:val="24"/>
          <w:szCs w:val="24"/>
        </w:rPr>
      </w:pPr>
      <w:r w:rsidRPr="003E4972">
        <w:rPr>
          <w:rFonts w:ascii="Times New Roman" w:hAnsi="Times New Roman" w:cs="Times New Roman"/>
          <w:bCs/>
          <w:sz w:val="24"/>
          <w:szCs w:val="24"/>
        </w:rPr>
        <w:t>Investors who wish to lodge a complaint on SCORES 2.0 (complainant) are required to register themselves on https://scores.sebi.gov.in/ by clicking on “Sign in/Sign up”.</w:t>
      </w:r>
    </w:p>
    <w:p w14:paraId="7BF989FF" w14:textId="7D924732"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Cs/>
          <w:sz w:val="24"/>
          <w:szCs w:val="24"/>
        </w:rPr>
      </w:pPr>
      <w:r w:rsidRPr="003E4972">
        <w:rPr>
          <w:rFonts w:ascii="Times New Roman" w:hAnsi="Times New Roman" w:cs="Times New Roman"/>
          <w:bCs/>
          <w:sz w:val="24"/>
          <w:szCs w:val="24"/>
        </w:rPr>
        <w:t>While filing the registration form, details like Name of the investor, Permanent Account Number (PAN), contact details, email ID, Aadhaar card number(optional), Central KYC (CKYC) ID (optional) etc. are required to be provided for effective communication and speedy redressal of the grievances.</w:t>
      </w:r>
    </w:p>
    <w:p w14:paraId="2F30025C" w14:textId="63A2B9EE"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Cs/>
          <w:sz w:val="24"/>
          <w:szCs w:val="24"/>
        </w:rPr>
      </w:pPr>
      <w:r w:rsidRPr="003E4972">
        <w:rPr>
          <w:rFonts w:ascii="Times New Roman" w:hAnsi="Times New Roman" w:cs="Times New Roman"/>
          <w:bCs/>
          <w:sz w:val="24"/>
          <w:szCs w:val="24"/>
        </w:rPr>
        <w:t>Upon successful registration, a unique user ID and a password shall be generated and communicated through an acknowledgement email to the complainant.</w:t>
      </w:r>
    </w:p>
    <w:p w14:paraId="5FD74DAD" w14:textId="6A129D56"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Cs/>
          <w:sz w:val="24"/>
          <w:szCs w:val="24"/>
        </w:rPr>
      </w:pPr>
      <w:r w:rsidRPr="003E4972">
        <w:rPr>
          <w:rFonts w:ascii="Times New Roman" w:hAnsi="Times New Roman" w:cs="Times New Roman"/>
          <w:bCs/>
          <w:sz w:val="24"/>
          <w:szCs w:val="24"/>
        </w:rPr>
        <w:lastRenderedPageBreak/>
        <w:t>If the Investor is unsatisfied, then he may register the same on ODR portal. The Investors will have to register themselves on https://smartodr.in/login under “Investor Login”.</w:t>
      </w:r>
    </w:p>
    <w:p w14:paraId="61CBBFE9" w14:textId="3C0BD5A9"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Cs/>
          <w:sz w:val="24"/>
          <w:szCs w:val="24"/>
        </w:rPr>
      </w:pPr>
      <w:r w:rsidRPr="003E4972">
        <w:rPr>
          <w:rFonts w:ascii="Times New Roman" w:hAnsi="Times New Roman" w:cs="Times New Roman"/>
          <w:bCs/>
          <w:sz w:val="24"/>
          <w:szCs w:val="24"/>
        </w:rPr>
        <w:t>While filing the registration form, details like Name of the investor, Permanent Account Number (PAN), contact details, email Id, Address are required to be provided.</w:t>
      </w:r>
    </w:p>
    <w:p w14:paraId="68F211DA" w14:textId="7169F8CE" w:rsidR="003E4972" w:rsidRPr="003E4972" w:rsidRDefault="003E4972" w:rsidP="003E4972">
      <w:pPr>
        <w:pStyle w:val="ListParagraph"/>
        <w:numPr>
          <w:ilvl w:val="1"/>
          <w:numId w:val="11"/>
        </w:numPr>
        <w:spacing w:line="360" w:lineRule="auto"/>
        <w:ind w:left="709" w:hanging="425"/>
        <w:jc w:val="both"/>
        <w:rPr>
          <w:rFonts w:ascii="Times New Roman" w:hAnsi="Times New Roman" w:cs="Times New Roman"/>
          <w:b/>
          <w:sz w:val="24"/>
          <w:szCs w:val="24"/>
        </w:rPr>
      </w:pPr>
      <w:r w:rsidRPr="003E4972">
        <w:rPr>
          <w:rFonts w:ascii="Times New Roman" w:hAnsi="Times New Roman" w:cs="Times New Roman"/>
          <w:bCs/>
          <w:sz w:val="24"/>
          <w:szCs w:val="24"/>
        </w:rPr>
        <w:t>Upon successful registration, the investor will receive an email on the registered email address with a link to verify his/her account.</w:t>
      </w:r>
    </w:p>
    <w:p w14:paraId="09A0A829" w14:textId="77777777" w:rsidR="007F48F9" w:rsidRPr="001E5BF3" w:rsidRDefault="007F48F9" w:rsidP="007F48F9">
      <w:pPr>
        <w:spacing w:line="360" w:lineRule="auto"/>
        <w:jc w:val="both"/>
        <w:rPr>
          <w:rFonts w:ascii="Times New Roman" w:hAnsi="Times New Roman" w:cs="Times New Roman"/>
          <w:b/>
          <w:sz w:val="24"/>
          <w:szCs w:val="24"/>
        </w:rPr>
      </w:pPr>
      <w:r w:rsidRPr="001E5BF3">
        <w:rPr>
          <w:rFonts w:ascii="Times New Roman" w:hAnsi="Times New Roman" w:cs="Times New Roman"/>
          <w:b/>
          <w:sz w:val="24"/>
          <w:szCs w:val="24"/>
        </w:rPr>
        <w:t>6. Record Keeping</w:t>
      </w:r>
    </w:p>
    <w:p w14:paraId="735FE576" w14:textId="77777777" w:rsidR="007F48F9" w:rsidRP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t>The AIF shall maintain records of all investor complaints, resolutions, and communications for a minimum of 8 years or as prescribed by SEBI regulations. These records shall be made available for inspection by regulatory authorities as and when required.</w:t>
      </w:r>
    </w:p>
    <w:p w14:paraId="40F2E564" w14:textId="77777777" w:rsidR="007F48F9" w:rsidRPr="001E5BF3" w:rsidRDefault="007F48F9" w:rsidP="007F48F9">
      <w:pPr>
        <w:spacing w:line="360" w:lineRule="auto"/>
        <w:jc w:val="both"/>
        <w:rPr>
          <w:rFonts w:ascii="Times New Roman" w:hAnsi="Times New Roman" w:cs="Times New Roman"/>
          <w:b/>
          <w:sz w:val="24"/>
          <w:szCs w:val="24"/>
        </w:rPr>
      </w:pPr>
      <w:r w:rsidRPr="001E5BF3">
        <w:rPr>
          <w:rFonts w:ascii="Times New Roman" w:hAnsi="Times New Roman" w:cs="Times New Roman"/>
          <w:b/>
          <w:sz w:val="24"/>
          <w:szCs w:val="24"/>
        </w:rPr>
        <w:t>7. Reporting &amp; Disclosures</w:t>
      </w:r>
    </w:p>
    <w:p w14:paraId="4156FB2E" w14:textId="7694E550" w:rsidR="007F48F9" w:rsidRP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t>The AIF shall disclose details of investor grievances received, resolved, and pending in its periodic reports</w:t>
      </w:r>
      <w:r w:rsidR="008823F5">
        <w:rPr>
          <w:rFonts w:ascii="Times New Roman" w:hAnsi="Times New Roman" w:cs="Times New Roman"/>
          <w:sz w:val="24"/>
          <w:szCs w:val="24"/>
        </w:rPr>
        <w:t xml:space="preserve"> (</w:t>
      </w:r>
      <w:r w:rsidR="008823F5" w:rsidRPr="00420BEE">
        <w:rPr>
          <w:rFonts w:ascii="Times New Roman" w:hAnsi="Times New Roman" w:cs="Times New Roman"/>
          <w:i/>
          <w:iCs/>
          <w:sz w:val="24"/>
          <w:szCs w:val="24"/>
        </w:rPr>
        <w:t>Format specified in Annexure A</w:t>
      </w:r>
      <w:r w:rsidR="008823F5">
        <w:rPr>
          <w:rFonts w:ascii="Times New Roman" w:hAnsi="Times New Roman" w:cs="Times New Roman"/>
          <w:sz w:val="24"/>
          <w:szCs w:val="24"/>
        </w:rPr>
        <w:t>)</w:t>
      </w:r>
      <w:r w:rsidRPr="007F48F9">
        <w:rPr>
          <w:rFonts w:ascii="Times New Roman" w:hAnsi="Times New Roman" w:cs="Times New Roman"/>
          <w:sz w:val="24"/>
          <w:szCs w:val="24"/>
        </w:rPr>
        <w:t xml:space="preserve"> to investors, trustees, and SEBI, as applicable. The status of grievances shall be reviewed periodically by the Board/Trustees.</w:t>
      </w:r>
    </w:p>
    <w:p w14:paraId="40EEE2FC" w14:textId="77777777" w:rsidR="007F48F9" w:rsidRPr="001E5BF3" w:rsidRDefault="007F48F9" w:rsidP="007F48F9">
      <w:pPr>
        <w:spacing w:line="360" w:lineRule="auto"/>
        <w:jc w:val="both"/>
        <w:rPr>
          <w:rFonts w:ascii="Times New Roman" w:hAnsi="Times New Roman" w:cs="Times New Roman"/>
          <w:b/>
          <w:sz w:val="24"/>
          <w:szCs w:val="24"/>
        </w:rPr>
      </w:pPr>
      <w:r w:rsidRPr="001E5BF3">
        <w:rPr>
          <w:rFonts w:ascii="Times New Roman" w:hAnsi="Times New Roman" w:cs="Times New Roman"/>
          <w:b/>
          <w:sz w:val="24"/>
          <w:szCs w:val="24"/>
        </w:rPr>
        <w:t>8. Review of Policy</w:t>
      </w:r>
    </w:p>
    <w:p w14:paraId="2786BE22" w14:textId="77777777" w:rsidR="007F48F9" w:rsidRPr="007F48F9"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t>This Policy shall be reviewed periodically, at least once annually, or as and when required due to changes in laws, regulations, or business operations. Any amendments shall be approved by the Board of Directors/Trustees of the AIF.</w:t>
      </w:r>
    </w:p>
    <w:p w14:paraId="58D9F81E" w14:textId="29836A6D" w:rsidR="008738C9" w:rsidRPr="00167DD5" w:rsidRDefault="007F48F9" w:rsidP="007F48F9">
      <w:pPr>
        <w:spacing w:line="360" w:lineRule="auto"/>
        <w:jc w:val="both"/>
        <w:rPr>
          <w:rFonts w:ascii="Times New Roman" w:hAnsi="Times New Roman" w:cs="Times New Roman"/>
          <w:sz w:val="24"/>
          <w:szCs w:val="24"/>
        </w:rPr>
      </w:pPr>
      <w:r w:rsidRPr="007F48F9">
        <w:rPr>
          <w:rFonts w:ascii="Times New Roman" w:hAnsi="Times New Roman" w:cs="Times New Roman"/>
          <w:sz w:val="24"/>
          <w:szCs w:val="24"/>
        </w:rPr>
        <w:t>This Investor Grievances Redressal Policy is adopted to ensure that the AIF maintains the highest standards of fairness, transparency, and accountability in addressing investor concerns.</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5E615605" w:rsidR="00420BEE"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p w14:paraId="147C2CEF" w14:textId="063AEAD6" w:rsidR="00CC08D4" w:rsidRPr="00CC08D4" w:rsidRDefault="00420BEE" w:rsidP="00AB0EA7">
      <w:pPr>
        <w:jc w:val="right"/>
        <w:rPr>
          <w:rFonts w:ascii="Times New Roman" w:hAnsi="Times New Roman" w:cs="Times New Roman"/>
          <w:b/>
          <w:bCs/>
          <w:sz w:val="24"/>
          <w:szCs w:val="24"/>
        </w:rPr>
      </w:pPr>
      <w:r>
        <w:rPr>
          <w:rFonts w:ascii="Times New Roman" w:hAnsi="Times New Roman" w:cs="Times New Roman"/>
          <w:sz w:val="24"/>
          <w:szCs w:val="24"/>
        </w:rPr>
        <w:br w:type="page"/>
      </w:r>
      <w:r w:rsidR="00CC08D4" w:rsidRPr="00CC08D4">
        <w:rPr>
          <w:rFonts w:ascii="Times New Roman" w:hAnsi="Times New Roman" w:cs="Times New Roman"/>
          <w:b/>
          <w:bCs/>
          <w:sz w:val="24"/>
          <w:szCs w:val="24"/>
        </w:rPr>
        <w:lastRenderedPageBreak/>
        <w:t>Annexure</w:t>
      </w:r>
      <w:r w:rsidR="00CC08D4" w:rsidRPr="00CC08D4">
        <w:rPr>
          <w:rFonts w:ascii="Times New Roman" w:hAnsi="Times New Roman" w:cs="Times New Roman"/>
          <w:b/>
          <w:bCs/>
          <w:spacing w:val="-2"/>
          <w:sz w:val="24"/>
          <w:szCs w:val="24"/>
        </w:rPr>
        <w:t xml:space="preserve"> </w:t>
      </w:r>
      <w:r w:rsidR="00CC08D4" w:rsidRPr="00CC08D4">
        <w:rPr>
          <w:rFonts w:ascii="Times New Roman" w:hAnsi="Times New Roman" w:cs="Times New Roman"/>
          <w:b/>
          <w:bCs/>
          <w:spacing w:val="-10"/>
          <w:sz w:val="24"/>
          <w:szCs w:val="24"/>
        </w:rPr>
        <w:t>A</w:t>
      </w:r>
    </w:p>
    <w:p w14:paraId="7AD49859" w14:textId="06182ECC" w:rsidR="00CC08D4" w:rsidRPr="00CC08D4" w:rsidRDefault="00CC08D4" w:rsidP="000F51F9">
      <w:pPr>
        <w:pStyle w:val="BodyText"/>
        <w:spacing w:before="253"/>
        <w:jc w:val="center"/>
        <w:rPr>
          <w:rFonts w:ascii="Times New Roman" w:hAnsi="Times New Roman" w:cs="Times New Roman"/>
          <w:b/>
          <w:bCs/>
          <w:sz w:val="24"/>
          <w:szCs w:val="24"/>
        </w:rPr>
      </w:pPr>
      <w:r w:rsidRPr="00CC08D4">
        <w:rPr>
          <w:rFonts w:ascii="Times New Roman" w:hAnsi="Times New Roman" w:cs="Times New Roman"/>
          <w:b/>
          <w:bCs/>
          <w:sz w:val="24"/>
          <w:szCs w:val="24"/>
        </w:rPr>
        <w:t>Investor</w:t>
      </w:r>
      <w:r w:rsidRPr="00CC08D4">
        <w:rPr>
          <w:rFonts w:ascii="Times New Roman" w:hAnsi="Times New Roman" w:cs="Times New Roman"/>
          <w:b/>
          <w:bCs/>
          <w:spacing w:val="21"/>
          <w:sz w:val="24"/>
          <w:szCs w:val="24"/>
        </w:rPr>
        <w:t xml:space="preserve"> </w:t>
      </w:r>
      <w:r w:rsidRPr="00CC08D4">
        <w:rPr>
          <w:rFonts w:ascii="Times New Roman" w:hAnsi="Times New Roman" w:cs="Times New Roman"/>
          <w:b/>
          <w:bCs/>
          <w:sz w:val="24"/>
          <w:szCs w:val="24"/>
        </w:rPr>
        <w:t>complaints</w:t>
      </w:r>
      <w:r w:rsidRPr="00CC08D4">
        <w:rPr>
          <w:rFonts w:ascii="Times New Roman" w:hAnsi="Times New Roman" w:cs="Times New Roman"/>
          <w:b/>
          <w:bCs/>
          <w:spacing w:val="22"/>
          <w:sz w:val="24"/>
          <w:szCs w:val="24"/>
        </w:rPr>
        <w:t xml:space="preserve"> </w:t>
      </w:r>
      <w:r w:rsidRPr="00CC08D4">
        <w:rPr>
          <w:rFonts w:ascii="Times New Roman" w:hAnsi="Times New Roman" w:cs="Times New Roman"/>
          <w:b/>
          <w:bCs/>
          <w:sz w:val="24"/>
          <w:szCs w:val="24"/>
        </w:rPr>
        <w:t>data</w:t>
      </w:r>
      <w:r w:rsidRPr="00CC08D4">
        <w:rPr>
          <w:rFonts w:ascii="Times New Roman" w:hAnsi="Times New Roman" w:cs="Times New Roman"/>
          <w:b/>
          <w:bCs/>
          <w:spacing w:val="22"/>
          <w:sz w:val="24"/>
          <w:szCs w:val="24"/>
        </w:rPr>
        <w:t xml:space="preserve"> </w:t>
      </w:r>
      <w:r w:rsidRPr="00CC08D4">
        <w:rPr>
          <w:rFonts w:ascii="Times New Roman" w:hAnsi="Times New Roman" w:cs="Times New Roman"/>
          <w:b/>
          <w:bCs/>
          <w:sz w:val="24"/>
          <w:szCs w:val="24"/>
        </w:rPr>
        <w:t>for</w:t>
      </w:r>
      <w:r w:rsidRPr="00CC08D4">
        <w:rPr>
          <w:rFonts w:ascii="Times New Roman" w:hAnsi="Times New Roman" w:cs="Times New Roman"/>
          <w:b/>
          <w:bCs/>
          <w:spacing w:val="21"/>
          <w:sz w:val="24"/>
          <w:szCs w:val="24"/>
        </w:rPr>
        <w:t xml:space="preserve"> </w:t>
      </w:r>
      <w:r w:rsidRPr="00CC08D4">
        <w:rPr>
          <w:rFonts w:ascii="Times New Roman" w:hAnsi="Times New Roman" w:cs="Times New Roman"/>
          <w:b/>
          <w:bCs/>
          <w:sz w:val="24"/>
          <w:szCs w:val="24"/>
        </w:rPr>
        <w:t>the</w:t>
      </w:r>
      <w:r w:rsidRPr="00CC08D4">
        <w:rPr>
          <w:rFonts w:ascii="Times New Roman" w:hAnsi="Times New Roman" w:cs="Times New Roman"/>
          <w:b/>
          <w:bCs/>
          <w:spacing w:val="21"/>
          <w:sz w:val="24"/>
          <w:szCs w:val="24"/>
        </w:rPr>
        <w:t xml:space="preserve"> </w:t>
      </w:r>
      <w:r w:rsidRPr="00CC08D4">
        <w:rPr>
          <w:rFonts w:ascii="Times New Roman" w:hAnsi="Times New Roman" w:cs="Times New Roman"/>
          <w:b/>
          <w:bCs/>
          <w:sz w:val="24"/>
          <w:szCs w:val="24"/>
        </w:rPr>
        <w:t>quarter</w:t>
      </w:r>
      <w:r w:rsidRPr="00CC08D4">
        <w:rPr>
          <w:rFonts w:ascii="Times New Roman" w:hAnsi="Times New Roman" w:cs="Times New Roman"/>
          <w:b/>
          <w:bCs/>
          <w:spacing w:val="21"/>
          <w:sz w:val="24"/>
          <w:szCs w:val="24"/>
        </w:rPr>
        <w:t xml:space="preserve"> </w:t>
      </w:r>
      <w:r w:rsidRPr="00CC08D4">
        <w:rPr>
          <w:rFonts w:ascii="Times New Roman" w:hAnsi="Times New Roman" w:cs="Times New Roman"/>
          <w:b/>
          <w:bCs/>
          <w:sz w:val="24"/>
          <w:szCs w:val="24"/>
        </w:rPr>
        <w:t>ending</w:t>
      </w:r>
      <w:r w:rsidRPr="00CC08D4">
        <w:rPr>
          <w:rFonts w:ascii="Times New Roman" w:hAnsi="Times New Roman" w:cs="Times New Roman"/>
          <w:b/>
          <w:bCs/>
          <w:spacing w:val="25"/>
          <w:sz w:val="24"/>
          <w:szCs w:val="24"/>
        </w:rPr>
        <w:t xml:space="preserve"> </w:t>
      </w:r>
      <w:r w:rsidRPr="00CC08D4">
        <w:rPr>
          <w:rFonts w:ascii="Times New Roman" w:hAnsi="Times New Roman" w:cs="Times New Roman"/>
          <w:b/>
          <w:bCs/>
          <w:spacing w:val="-2"/>
          <w:sz w:val="24"/>
          <w:szCs w:val="24"/>
        </w:rPr>
        <w:t>(March/June/September/December)</w:t>
      </w:r>
    </w:p>
    <w:p w14:paraId="48E59221" w14:textId="77777777" w:rsidR="00CC08D4" w:rsidRPr="00CC08D4" w:rsidRDefault="00CC08D4" w:rsidP="00CC08D4">
      <w:pPr>
        <w:pStyle w:val="BodyText"/>
        <w:spacing w:before="20"/>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30"/>
        <w:gridCol w:w="1632"/>
        <w:gridCol w:w="986"/>
        <w:gridCol w:w="1055"/>
        <w:gridCol w:w="1066"/>
        <w:gridCol w:w="988"/>
        <w:gridCol w:w="1235"/>
        <w:gridCol w:w="1224"/>
      </w:tblGrid>
      <w:tr w:rsidR="00CC08D4" w:rsidRPr="00CC08D4" w14:paraId="182CD621" w14:textId="77777777" w:rsidTr="00F91C60">
        <w:trPr>
          <w:trHeight w:val="546"/>
        </w:trPr>
        <w:tc>
          <w:tcPr>
            <w:tcW w:w="460" w:type="pct"/>
          </w:tcPr>
          <w:p w14:paraId="64564438" w14:textId="4A62D835" w:rsidR="00CC08D4" w:rsidRPr="00233463" w:rsidRDefault="00F91C60" w:rsidP="00233463">
            <w:pPr>
              <w:pStyle w:val="TableParagraph"/>
              <w:spacing w:before="2"/>
              <w:ind w:left="107"/>
              <w:jc w:val="center"/>
              <w:rPr>
                <w:rFonts w:ascii="Times New Roman" w:hAnsi="Times New Roman" w:cs="Times New Roman"/>
                <w:b/>
                <w:bCs/>
                <w:sz w:val="24"/>
                <w:szCs w:val="24"/>
              </w:rPr>
            </w:pPr>
            <w:r w:rsidRPr="00233463">
              <w:rPr>
                <w:rFonts w:ascii="Times New Roman" w:hAnsi="Times New Roman" w:cs="Times New Roman"/>
                <w:b/>
                <w:bCs/>
                <w:sz w:val="24"/>
                <w:szCs w:val="24"/>
              </w:rPr>
              <w:t>S. No.</w:t>
            </w:r>
          </w:p>
        </w:tc>
        <w:tc>
          <w:tcPr>
            <w:tcW w:w="905" w:type="pct"/>
          </w:tcPr>
          <w:p w14:paraId="50CE7A21" w14:textId="0AD8F4FE" w:rsidR="00CC08D4" w:rsidRPr="00233463" w:rsidRDefault="00F91C60" w:rsidP="00233463">
            <w:pPr>
              <w:pStyle w:val="TableParagraph"/>
              <w:spacing w:before="15" w:line="251" w:lineRule="exact"/>
              <w:ind w:left="109"/>
              <w:jc w:val="center"/>
              <w:rPr>
                <w:rFonts w:ascii="Times New Roman" w:hAnsi="Times New Roman" w:cs="Times New Roman"/>
                <w:b/>
                <w:bCs/>
                <w:sz w:val="24"/>
                <w:szCs w:val="24"/>
              </w:rPr>
            </w:pPr>
            <w:r w:rsidRPr="00233463">
              <w:rPr>
                <w:rFonts w:ascii="Times New Roman" w:hAnsi="Times New Roman" w:cs="Times New Roman"/>
                <w:b/>
                <w:bCs/>
                <w:sz w:val="24"/>
                <w:szCs w:val="24"/>
              </w:rPr>
              <w:t>Investor Complaints Received from</w:t>
            </w:r>
          </w:p>
        </w:tc>
        <w:tc>
          <w:tcPr>
            <w:tcW w:w="547" w:type="pct"/>
          </w:tcPr>
          <w:p w14:paraId="1C301B0F" w14:textId="21B1D619"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Pending at the end of last quarter</w:t>
            </w:r>
          </w:p>
        </w:tc>
        <w:tc>
          <w:tcPr>
            <w:tcW w:w="585" w:type="pct"/>
          </w:tcPr>
          <w:p w14:paraId="7C8AC478" w14:textId="0553B4B2"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Received</w:t>
            </w:r>
          </w:p>
        </w:tc>
        <w:tc>
          <w:tcPr>
            <w:tcW w:w="591" w:type="pct"/>
          </w:tcPr>
          <w:p w14:paraId="72A02E5F" w14:textId="4E246045"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Resolved</w:t>
            </w:r>
          </w:p>
        </w:tc>
        <w:tc>
          <w:tcPr>
            <w:tcW w:w="548" w:type="pct"/>
          </w:tcPr>
          <w:p w14:paraId="061FD93E" w14:textId="749095DC"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Pending at the end of current quarter</w:t>
            </w:r>
          </w:p>
        </w:tc>
        <w:tc>
          <w:tcPr>
            <w:tcW w:w="685" w:type="pct"/>
          </w:tcPr>
          <w:p w14:paraId="0EDDD434" w14:textId="1F2FFFB0"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Pending complaints &gt;3 months</w:t>
            </w:r>
          </w:p>
        </w:tc>
        <w:tc>
          <w:tcPr>
            <w:tcW w:w="679" w:type="pct"/>
          </w:tcPr>
          <w:p w14:paraId="6F22769A" w14:textId="13CF66D3" w:rsidR="00CC08D4" w:rsidRPr="00233463" w:rsidRDefault="00F91C60" w:rsidP="00233463">
            <w:pPr>
              <w:pStyle w:val="TableParagraph"/>
              <w:jc w:val="center"/>
              <w:rPr>
                <w:rFonts w:ascii="Times New Roman" w:hAnsi="Times New Roman" w:cs="Times New Roman"/>
                <w:b/>
                <w:bCs/>
                <w:sz w:val="24"/>
                <w:szCs w:val="24"/>
              </w:rPr>
            </w:pPr>
            <w:r w:rsidRPr="00233463">
              <w:rPr>
                <w:rFonts w:ascii="Times New Roman" w:hAnsi="Times New Roman" w:cs="Times New Roman"/>
                <w:b/>
                <w:bCs/>
                <w:sz w:val="24"/>
                <w:szCs w:val="24"/>
              </w:rPr>
              <w:t>Average Resolution time^ (in days)</w:t>
            </w:r>
          </w:p>
        </w:tc>
      </w:tr>
      <w:tr w:rsidR="00F91C60" w:rsidRPr="00CC08D4" w14:paraId="17420730" w14:textId="77777777" w:rsidTr="00F91C60">
        <w:trPr>
          <w:trHeight w:val="546"/>
        </w:trPr>
        <w:tc>
          <w:tcPr>
            <w:tcW w:w="460" w:type="pct"/>
          </w:tcPr>
          <w:p w14:paraId="34B30BFF" w14:textId="00DE3560" w:rsidR="00F91C60" w:rsidRPr="00CC08D4" w:rsidRDefault="00F91C60" w:rsidP="0004711A">
            <w:pPr>
              <w:pStyle w:val="TableParagraph"/>
              <w:spacing w:before="2"/>
              <w:ind w:left="107"/>
              <w:jc w:val="center"/>
              <w:rPr>
                <w:rFonts w:ascii="Times New Roman" w:hAnsi="Times New Roman" w:cs="Times New Roman"/>
                <w:spacing w:val="-10"/>
                <w:sz w:val="24"/>
                <w:szCs w:val="24"/>
              </w:rPr>
            </w:pPr>
            <w:r w:rsidRPr="00CC08D4">
              <w:rPr>
                <w:rFonts w:ascii="Times New Roman" w:hAnsi="Times New Roman" w:cs="Times New Roman"/>
                <w:spacing w:val="-10"/>
                <w:sz w:val="24"/>
                <w:szCs w:val="24"/>
              </w:rPr>
              <w:t>1</w:t>
            </w:r>
          </w:p>
        </w:tc>
        <w:tc>
          <w:tcPr>
            <w:tcW w:w="905" w:type="pct"/>
          </w:tcPr>
          <w:p w14:paraId="67B24451" w14:textId="77777777" w:rsidR="00F91C60" w:rsidRPr="00CC08D4" w:rsidRDefault="00F91C60" w:rsidP="00F91C60">
            <w:pPr>
              <w:pStyle w:val="TableParagraph"/>
              <w:tabs>
                <w:tab w:val="left" w:pos="1167"/>
              </w:tabs>
              <w:spacing w:before="2"/>
              <w:ind w:left="109"/>
              <w:rPr>
                <w:rFonts w:ascii="Times New Roman" w:hAnsi="Times New Roman" w:cs="Times New Roman"/>
                <w:sz w:val="24"/>
                <w:szCs w:val="24"/>
              </w:rPr>
            </w:pPr>
            <w:r w:rsidRPr="00CC08D4">
              <w:rPr>
                <w:rFonts w:ascii="Times New Roman" w:hAnsi="Times New Roman" w:cs="Times New Roman"/>
                <w:spacing w:val="-2"/>
                <w:w w:val="105"/>
                <w:sz w:val="24"/>
                <w:szCs w:val="24"/>
              </w:rPr>
              <w:t>Directly</w:t>
            </w:r>
            <w:r>
              <w:rPr>
                <w:rFonts w:ascii="Times New Roman" w:hAnsi="Times New Roman" w:cs="Times New Roman"/>
                <w:spacing w:val="-2"/>
                <w:w w:val="105"/>
                <w:sz w:val="24"/>
                <w:szCs w:val="24"/>
              </w:rPr>
              <w:t xml:space="preserve"> </w:t>
            </w:r>
            <w:r w:rsidRPr="00CC08D4">
              <w:rPr>
                <w:rFonts w:ascii="Times New Roman" w:hAnsi="Times New Roman" w:cs="Times New Roman"/>
                <w:spacing w:val="-4"/>
                <w:w w:val="105"/>
                <w:sz w:val="24"/>
                <w:szCs w:val="24"/>
              </w:rPr>
              <w:t>from</w:t>
            </w:r>
          </w:p>
          <w:p w14:paraId="53E01492" w14:textId="3CF3CA38" w:rsidR="00F91C60" w:rsidRPr="00CC08D4" w:rsidRDefault="00F91C60" w:rsidP="00F91C60">
            <w:pPr>
              <w:pStyle w:val="TableParagraph"/>
              <w:tabs>
                <w:tab w:val="left" w:pos="1167"/>
              </w:tabs>
              <w:spacing w:before="2"/>
              <w:ind w:left="109"/>
              <w:rPr>
                <w:rFonts w:ascii="Times New Roman" w:hAnsi="Times New Roman" w:cs="Times New Roman"/>
                <w:spacing w:val="-2"/>
                <w:w w:val="105"/>
                <w:sz w:val="24"/>
                <w:szCs w:val="24"/>
              </w:rPr>
            </w:pPr>
            <w:r w:rsidRPr="00CC08D4">
              <w:rPr>
                <w:rFonts w:ascii="Times New Roman" w:hAnsi="Times New Roman" w:cs="Times New Roman"/>
                <w:spacing w:val="-2"/>
                <w:sz w:val="24"/>
                <w:szCs w:val="24"/>
              </w:rPr>
              <w:t>Investors</w:t>
            </w:r>
          </w:p>
        </w:tc>
        <w:tc>
          <w:tcPr>
            <w:tcW w:w="547" w:type="pct"/>
          </w:tcPr>
          <w:p w14:paraId="56820432" w14:textId="77777777" w:rsidR="00F91C60" w:rsidRPr="00CC08D4" w:rsidRDefault="00F91C60" w:rsidP="00F91C60">
            <w:pPr>
              <w:pStyle w:val="TableParagraph"/>
              <w:rPr>
                <w:rFonts w:ascii="Times New Roman" w:hAnsi="Times New Roman" w:cs="Times New Roman"/>
                <w:sz w:val="24"/>
                <w:szCs w:val="24"/>
              </w:rPr>
            </w:pPr>
          </w:p>
        </w:tc>
        <w:tc>
          <w:tcPr>
            <w:tcW w:w="585" w:type="pct"/>
          </w:tcPr>
          <w:p w14:paraId="54E7E63A" w14:textId="77777777" w:rsidR="00F91C60" w:rsidRPr="00CC08D4" w:rsidRDefault="00F91C60" w:rsidP="00F91C60">
            <w:pPr>
              <w:pStyle w:val="TableParagraph"/>
              <w:rPr>
                <w:rFonts w:ascii="Times New Roman" w:hAnsi="Times New Roman" w:cs="Times New Roman"/>
                <w:sz w:val="24"/>
                <w:szCs w:val="24"/>
              </w:rPr>
            </w:pPr>
          </w:p>
        </w:tc>
        <w:tc>
          <w:tcPr>
            <w:tcW w:w="591" w:type="pct"/>
          </w:tcPr>
          <w:p w14:paraId="5F7826C5" w14:textId="77777777" w:rsidR="00F91C60" w:rsidRPr="00CC08D4" w:rsidRDefault="00F91C60" w:rsidP="00F91C60">
            <w:pPr>
              <w:pStyle w:val="TableParagraph"/>
              <w:rPr>
                <w:rFonts w:ascii="Times New Roman" w:hAnsi="Times New Roman" w:cs="Times New Roman"/>
                <w:sz w:val="24"/>
                <w:szCs w:val="24"/>
              </w:rPr>
            </w:pPr>
          </w:p>
        </w:tc>
        <w:tc>
          <w:tcPr>
            <w:tcW w:w="548" w:type="pct"/>
          </w:tcPr>
          <w:p w14:paraId="1F743C65" w14:textId="77777777" w:rsidR="00F91C60" w:rsidRPr="00CC08D4" w:rsidRDefault="00F91C60" w:rsidP="00F91C60">
            <w:pPr>
              <w:pStyle w:val="TableParagraph"/>
              <w:rPr>
                <w:rFonts w:ascii="Times New Roman" w:hAnsi="Times New Roman" w:cs="Times New Roman"/>
                <w:sz w:val="24"/>
                <w:szCs w:val="24"/>
              </w:rPr>
            </w:pPr>
          </w:p>
        </w:tc>
        <w:tc>
          <w:tcPr>
            <w:tcW w:w="685" w:type="pct"/>
          </w:tcPr>
          <w:p w14:paraId="493DA696" w14:textId="77777777" w:rsidR="00F91C60" w:rsidRPr="00CC08D4" w:rsidRDefault="00F91C60" w:rsidP="00F91C60">
            <w:pPr>
              <w:pStyle w:val="TableParagraph"/>
              <w:rPr>
                <w:rFonts w:ascii="Times New Roman" w:hAnsi="Times New Roman" w:cs="Times New Roman"/>
                <w:sz w:val="24"/>
                <w:szCs w:val="24"/>
              </w:rPr>
            </w:pPr>
          </w:p>
        </w:tc>
        <w:tc>
          <w:tcPr>
            <w:tcW w:w="679" w:type="pct"/>
          </w:tcPr>
          <w:p w14:paraId="5D2CB5A9" w14:textId="77777777" w:rsidR="00F91C60" w:rsidRPr="00CC08D4" w:rsidRDefault="00F91C60" w:rsidP="00F91C60">
            <w:pPr>
              <w:pStyle w:val="TableParagraph"/>
              <w:rPr>
                <w:rFonts w:ascii="Times New Roman" w:hAnsi="Times New Roman" w:cs="Times New Roman"/>
                <w:sz w:val="24"/>
                <w:szCs w:val="24"/>
              </w:rPr>
            </w:pPr>
          </w:p>
        </w:tc>
      </w:tr>
      <w:tr w:rsidR="00F91C60" w:rsidRPr="00CC08D4" w14:paraId="5B394D39" w14:textId="77777777" w:rsidTr="00F91C60">
        <w:trPr>
          <w:trHeight w:val="273"/>
        </w:trPr>
        <w:tc>
          <w:tcPr>
            <w:tcW w:w="460" w:type="pct"/>
          </w:tcPr>
          <w:p w14:paraId="0B1F5DEC" w14:textId="77777777" w:rsidR="00F91C60" w:rsidRPr="00CC08D4" w:rsidRDefault="00F91C60" w:rsidP="0004711A">
            <w:pPr>
              <w:pStyle w:val="TableParagraph"/>
              <w:spacing w:before="2" w:line="251" w:lineRule="exact"/>
              <w:ind w:left="107"/>
              <w:jc w:val="center"/>
              <w:rPr>
                <w:rFonts w:ascii="Times New Roman" w:hAnsi="Times New Roman" w:cs="Times New Roman"/>
                <w:sz w:val="24"/>
                <w:szCs w:val="24"/>
              </w:rPr>
            </w:pPr>
            <w:r w:rsidRPr="00CC08D4">
              <w:rPr>
                <w:rFonts w:ascii="Times New Roman" w:hAnsi="Times New Roman" w:cs="Times New Roman"/>
                <w:spacing w:val="-10"/>
                <w:sz w:val="24"/>
                <w:szCs w:val="24"/>
              </w:rPr>
              <w:t>2</w:t>
            </w:r>
          </w:p>
        </w:tc>
        <w:tc>
          <w:tcPr>
            <w:tcW w:w="905" w:type="pct"/>
          </w:tcPr>
          <w:p w14:paraId="4D62E779" w14:textId="77777777" w:rsidR="00F91C60" w:rsidRPr="00CC08D4" w:rsidRDefault="00F91C60" w:rsidP="00F91C60">
            <w:pPr>
              <w:pStyle w:val="TableParagraph"/>
              <w:spacing w:before="2" w:line="251" w:lineRule="exact"/>
              <w:ind w:left="109"/>
              <w:rPr>
                <w:rFonts w:ascii="Times New Roman" w:hAnsi="Times New Roman" w:cs="Times New Roman"/>
                <w:sz w:val="24"/>
                <w:szCs w:val="24"/>
              </w:rPr>
            </w:pPr>
            <w:r w:rsidRPr="00CC08D4">
              <w:rPr>
                <w:rFonts w:ascii="Times New Roman" w:hAnsi="Times New Roman" w:cs="Times New Roman"/>
                <w:w w:val="105"/>
                <w:sz w:val="24"/>
                <w:szCs w:val="24"/>
              </w:rPr>
              <w:t>SEBI</w:t>
            </w:r>
            <w:r w:rsidRPr="00CC08D4">
              <w:rPr>
                <w:rFonts w:ascii="Times New Roman" w:hAnsi="Times New Roman" w:cs="Times New Roman"/>
                <w:spacing w:val="-6"/>
                <w:w w:val="105"/>
                <w:sz w:val="24"/>
                <w:szCs w:val="24"/>
              </w:rPr>
              <w:t xml:space="preserve"> </w:t>
            </w:r>
            <w:r w:rsidRPr="00CC08D4">
              <w:rPr>
                <w:rFonts w:ascii="Times New Roman" w:hAnsi="Times New Roman" w:cs="Times New Roman"/>
                <w:spacing w:val="-2"/>
                <w:w w:val="105"/>
                <w:sz w:val="24"/>
                <w:szCs w:val="24"/>
              </w:rPr>
              <w:t>(SCORES)</w:t>
            </w:r>
          </w:p>
        </w:tc>
        <w:tc>
          <w:tcPr>
            <w:tcW w:w="547" w:type="pct"/>
          </w:tcPr>
          <w:p w14:paraId="6656E465" w14:textId="77777777" w:rsidR="00F91C60" w:rsidRPr="00CC08D4" w:rsidRDefault="00F91C60" w:rsidP="00F91C60">
            <w:pPr>
              <w:pStyle w:val="TableParagraph"/>
              <w:rPr>
                <w:rFonts w:ascii="Times New Roman" w:hAnsi="Times New Roman" w:cs="Times New Roman"/>
                <w:sz w:val="24"/>
                <w:szCs w:val="24"/>
              </w:rPr>
            </w:pPr>
          </w:p>
        </w:tc>
        <w:tc>
          <w:tcPr>
            <w:tcW w:w="585" w:type="pct"/>
          </w:tcPr>
          <w:p w14:paraId="2E84F5EC" w14:textId="77777777" w:rsidR="00F91C60" w:rsidRPr="00CC08D4" w:rsidRDefault="00F91C60" w:rsidP="00F91C60">
            <w:pPr>
              <w:pStyle w:val="TableParagraph"/>
              <w:rPr>
                <w:rFonts w:ascii="Times New Roman" w:hAnsi="Times New Roman" w:cs="Times New Roman"/>
                <w:sz w:val="24"/>
                <w:szCs w:val="24"/>
              </w:rPr>
            </w:pPr>
          </w:p>
        </w:tc>
        <w:tc>
          <w:tcPr>
            <w:tcW w:w="591" w:type="pct"/>
          </w:tcPr>
          <w:p w14:paraId="3DDB228C" w14:textId="77777777" w:rsidR="00F91C60" w:rsidRPr="00CC08D4" w:rsidRDefault="00F91C60" w:rsidP="00F91C60">
            <w:pPr>
              <w:pStyle w:val="TableParagraph"/>
              <w:rPr>
                <w:rFonts w:ascii="Times New Roman" w:hAnsi="Times New Roman" w:cs="Times New Roman"/>
                <w:sz w:val="24"/>
                <w:szCs w:val="24"/>
              </w:rPr>
            </w:pPr>
          </w:p>
        </w:tc>
        <w:tc>
          <w:tcPr>
            <w:tcW w:w="548" w:type="pct"/>
          </w:tcPr>
          <w:p w14:paraId="1AC91719" w14:textId="77777777" w:rsidR="00F91C60" w:rsidRPr="00CC08D4" w:rsidRDefault="00F91C60" w:rsidP="00F91C60">
            <w:pPr>
              <w:pStyle w:val="TableParagraph"/>
              <w:rPr>
                <w:rFonts w:ascii="Times New Roman" w:hAnsi="Times New Roman" w:cs="Times New Roman"/>
                <w:sz w:val="24"/>
                <w:szCs w:val="24"/>
              </w:rPr>
            </w:pPr>
          </w:p>
        </w:tc>
        <w:tc>
          <w:tcPr>
            <w:tcW w:w="685" w:type="pct"/>
          </w:tcPr>
          <w:p w14:paraId="2F87E370" w14:textId="77777777" w:rsidR="00F91C60" w:rsidRPr="00CC08D4" w:rsidRDefault="00F91C60" w:rsidP="00F91C60">
            <w:pPr>
              <w:pStyle w:val="TableParagraph"/>
              <w:rPr>
                <w:rFonts w:ascii="Times New Roman" w:hAnsi="Times New Roman" w:cs="Times New Roman"/>
                <w:sz w:val="24"/>
                <w:szCs w:val="24"/>
              </w:rPr>
            </w:pPr>
          </w:p>
        </w:tc>
        <w:tc>
          <w:tcPr>
            <w:tcW w:w="679" w:type="pct"/>
          </w:tcPr>
          <w:p w14:paraId="0B2D12DD" w14:textId="77777777" w:rsidR="00F91C60" w:rsidRPr="00CC08D4" w:rsidRDefault="00F91C60" w:rsidP="00F91C60">
            <w:pPr>
              <w:pStyle w:val="TableParagraph"/>
              <w:rPr>
                <w:rFonts w:ascii="Times New Roman" w:hAnsi="Times New Roman" w:cs="Times New Roman"/>
                <w:sz w:val="24"/>
                <w:szCs w:val="24"/>
              </w:rPr>
            </w:pPr>
          </w:p>
        </w:tc>
      </w:tr>
      <w:tr w:rsidR="00F91C60" w:rsidRPr="00CC08D4" w14:paraId="2CA3F134" w14:textId="77777777" w:rsidTr="00F91C60">
        <w:trPr>
          <w:trHeight w:val="546"/>
        </w:trPr>
        <w:tc>
          <w:tcPr>
            <w:tcW w:w="460" w:type="pct"/>
          </w:tcPr>
          <w:p w14:paraId="4054729A" w14:textId="77777777" w:rsidR="00F91C60" w:rsidRPr="00CC08D4" w:rsidRDefault="00F91C60" w:rsidP="0004711A">
            <w:pPr>
              <w:pStyle w:val="TableParagraph"/>
              <w:spacing w:before="2"/>
              <w:ind w:left="107"/>
              <w:jc w:val="center"/>
              <w:rPr>
                <w:rFonts w:ascii="Times New Roman" w:hAnsi="Times New Roman" w:cs="Times New Roman"/>
                <w:sz w:val="24"/>
                <w:szCs w:val="24"/>
              </w:rPr>
            </w:pPr>
            <w:r w:rsidRPr="00CC08D4">
              <w:rPr>
                <w:rFonts w:ascii="Times New Roman" w:hAnsi="Times New Roman" w:cs="Times New Roman"/>
                <w:spacing w:val="-10"/>
                <w:sz w:val="24"/>
                <w:szCs w:val="24"/>
              </w:rPr>
              <w:t>3</w:t>
            </w:r>
          </w:p>
        </w:tc>
        <w:tc>
          <w:tcPr>
            <w:tcW w:w="905" w:type="pct"/>
          </w:tcPr>
          <w:p w14:paraId="02BD5132" w14:textId="0AAD961E" w:rsidR="00F91C60" w:rsidRPr="00CC08D4" w:rsidRDefault="00F91C60" w:rsidP="00F91C60">
            <w:pPr>
              <w:pStyle w:val="TableParagraph"/>
              <w:tabs>
                <w:tab w:val="left" w:pos="891"/>
              </w:tabs>
              <w:spacing w:before="2"/>
              <w:ind w:left="109"/>
              <w:rPr>
                <w:rFonts w:ascii="Times New Roman" w:hAnsi="Times New Roman" w:cs="Times New Roman"/>
                <w:sz w:val="24"/>
                <w:szCs w:val="24"/>
              </w:rPr>
            </w:pPr>
            <w:r w:rsidRPr="00CC08D4">
              <w:rPr>
                <w:rFonts w:ascii="Times New Roman" w:hAnsi="Times New Roman" w:cs="Times New Roman"/>
                <w:spacing w:val="-4"/>
                <w:sz w:val="24"/>
                <w:szCs w:val="24"/>
              </w:rPr>
              <w:t>Other</w:t>
            </w:r>
            <w:r>
              <w:rPr>
                <w:rFonts w:ascii="Times New Roman" w:hAnsi="Times New Roman" w:cs="Times New Roman"/>
                <w:spacing w:val="-4"/>
                <w:sz w:val="24"/>
                <w:szCs w:val="24"/>
              </w:rPr>
              <w:t xml:space="preserve"> </w:t>
            </w:r>
            <w:r w:rsidRPr="00CC08D4">
              <w:rPr>
                <w:rFonts w:ascii="Times New Roman" w:hAnsi="Times New Roman" w:cs="Times New Roman"/>
                <w:spacing w:val="-2"/>
                <w:sz w:val="24"/>
                <w:szCs w:val="24"/>
              </w:rPr>
              <w:t>Sources</w:t>
            </w:r>
          </w:p>
          <w:p w14:paraId="33E09713" w14:textId="77777777" w:rsidR="00F91C60" w:rsidRPr="00CC08D4" w:rsidRDefault="00F91C60" w:rsidP="00F91C60">
            <w:pPr>
              <w:pStyle w:val="TableParagraph"/>
              <w:spacing w:before="15" w:line="251" w:lineRule="exact"/>
              <w:ind w:left="109"/>
              <w:rPr>
                <w:rFonts w:ascii="Times New Roman" w:hAnsi="Times New Roman" w:cs="Times New Roman"/>
                <w:sz w:val="24"/>
                <w:szCs w:val="24"/>
              </w:rPr>
            </w:pPr>
            <w:r w:rsidRPr="00CC08D4">
              <w:rPr>
                <w:rFonts w:ascii="Times New Roman" w:hAnsi="Times New Roman" w:cs="Times New Roman"/>
                <w:sz w:val="24"/>
                <w:szCs w:val="24"/>
              </w:rPr>
              <w:t>(if</w:t>
            </w:r>
            <w:r w:rsidRPr="00CC08D4">
              <w:rPr>
                <w:rFonts w:ascii="Times New Roman" w:hAnsi="Times New Roman" w:cs="Times New Roman"/>
                <w:spacing w:val="3"/>
                <w:sz w:val="24"/>
                <w:szCs w:val="24"/>
              </w:rPr>
              <w:t xml:space="preserve"> </w:t>
            </w:r>
            <w:r w:rsidRPr="00CC08D4">
              <w:rPr>
                <w:rFonts w:ascii="Times New Roman" w:hAnsi="Times New Roman" w:cs="Times New Roman"/>
                <w:spacing w:val="-4"/>
                <w:sz w:val="24"/>
                <w:szCs w:val="24"/>
              </w:rPr>
              <w:t>any)</w:t>
            </w:r>
          </w:p>
        </w:tc>
        <w:tc>
          <w:tcPr>
            <w:tcW w:w="547" w:type="pct"/>
          </w:tcPr>
          <w:p w14:paraId="4A107850" w14:textId="77777777" w:rsidR="00F91C60" w:rsidRPr="00CC08D4" w:rsidRDefault="00F91C60" w:rsidP="00F91C60">
            <w:pPr>
              <w:pStyle w:val="TableParagraph"/>
              <w:rPr>
                <w:rFonts w:ascii="Times New Roman" w:hAnsi="Times New Roman" w:cs="Times New Roman"/>
                <w:sz w:val="24"/>
                <w:szCs w:val="24"/>
              </w:rPr>
            </w:pPr>
          </w:p>
        </w:tc>
        <w:tc>
          <w:tcPr>
            <w:tcW w:w="585" w:type="pct"/>
          </w:tcPr>
          <w:p w14:paraId="74E47FAF" w14:textId="77777777" w:rsidR="00F91C60" w:rsidRPr="00CC08D4" w:rsidRDefault="00F91C60" w:rsidP="00F91C60">
            <w:pPr>
              <w:pStyle w:val="TableParagraph"/>
              <w:rPr>
                <w:rFonts w:ascii="Times New Roman" w:hAnsi="Times New Roman" w:cs="Times New Roman"/>
                <w:sz w:val="24"/>
                <w:szCs w:val="24"/>
              </w:rPr>
            </w:pPr>
          </w:p>
        </w:tc>
        <w:tc>
          <w:tcPr>
            <w:tcW w:w="591" w:type="pct"/>
          </w:tcPr>
          <w:p w14:paraId="7D03489E" w14:textId="77777777" w:rsidR="00F91C60" w:rsidRPr="00CC08D4" w:rsidRDefault="00F91C60" w:rsidP="00F91C60">
            <w:pPr>
              <w:pStyle w:val="TableParagraph"/>
              <w:rPr>
                <w:rFonts w:ascii="Times New Roman" w:hAnsi="Times New Roman" w:cs="Times New Roman"/>
                <w:sz w:val="24"/>
                <w:szCs w:val="24"/>
              </w:rPr>
            </w:pPr>
          </w:p>
        </w:tc>
        <w:tc>
          <w:tcPr>
            <w:tcW w:w="548" w:type="pct"/>
          </w:tcPr>
          <w:p w14:paraId="0205D2E8" w14:textId="77777777" w:rsidR="00F91C60" w:rsidRPr="00CC08D4" w:rsidRDefault="00F91C60" w:rsidP="00F91C60">
            <w:pPr>
              <w:pStyle w:val="TableParagraph"/>
              <w:rPr>
                <w:rFonts w:ascii="Times New Roman" w:hAnsi="Times New Roman" w:cs="Times New Roman"/>
                <w:sz w:val="24"/>
                <w:szCs w:val="24"/>
              </w:rPr>
            </w:pPr>
          </w:p>
        </w:tc>
        <w:tc>
          <w:tcPr>
            <w:tcW w:w="685" w:type="pct"/>
          </w:tcPr>
          <w:p w14:paraId="3478CB59" w14:textId="77777777" w:rsidR="00F91C60" w:rsidRPr="00CC08D4" w:rsidRDefault="00F91C60" w:rsidP="00F91C60">
            <w:pPr>
              <w:pStyle w:val="TableParagraph"/>
              <w:rPr>
                <w:rFonts w:ascii="Times New Roman" w:hAnsi="Times New Roman" w:cs="Times New Roman"/>
                <w:sz w:val="24"/>
                <w:szCs w:val="24"/>
              </w:rPr>
            </w:pPr>
          </w:p>
        </w:tc>
        <w:tc>
          <w:tcPr>
            <w:tcW w:w="679" w:type="pct"/>
          </w:tcPr>
          <w:p w14:paraId="191DF09A" w14:textId="77777777" w:rsidR="00F91C60" w:rsidRPr="00CC08D4" w:rsidRDefault="00F91C60" w:rsidP="00F91C60">
            <w:pPr>
              <w:pStyle w:val="TableParagraph"/>
              <w:rPr>
                <w:rFonts w:ascii="Times New Roman" w:hAnsi="Times New Roman" w:cs="Times New Roman"/>
                <w:sz w:val="24"/>
                <w:szCs w:val="24"/>
              </w:rPr>
            </w:pPr>
          </w:p>
        </w:tc>
      </w:tr>
      <w:tr w:rsidR="00F91C60" w:rsidRPr="00CC08D4" w14:paraId="7379D8D2" w14:textId="77777777" w:rsidTr="00F91C60">
        <w:trPr>
          <w:trHeight w:val="273"/>
        </w:trPr>
        <w:tc>
          <w:tcPr>
            <w:tcW w:w="460" w:type="pct"/>
          </w:tcPr>
          <w:p w14:paraId="286926A4" w14:textId="77777777" w:rsidR="00F91C60" w:rsidRPr="00CC08D4" w:rsidRDefault="00F91C60" w:rsidP="00F91C60">
            <w:pPr>
              <w:pStyle w:val="TableParagraph"/>
              <w:rPr>
                <w:rFonts w:ascii="Times New Roman" w:hAnsi="Times New Roman" w:cs="Times New Roman"/>
                <w:sz w:val="24"/>
                <w:szCs w:val="24"/>
              </w:rPr>
            </w:pPr>
          </w:p>
        </w:tc>
        <w:tc>
          <w:tcPr>
            <w:tcW w:w="905" w:type="pct"/>
          </w:tcPr>
          <w:p w14:paraId="64FC37BE" w14:textId="77777777" w:rsidR="00F91C60" w:rsidRPr="00CC08D4" w:rsidRDefault="00F91C60" w:rsidP="00F91C60">
            <w:pPr>
              <w:pStyle w:val="TableParagraph"/>
              <w:spacing w:line="253" w:lineRule="exact"/>
              <w:ind w:left="109"/>
              <w:rPr>
                <w:rFonts w:ascii="Times New Roman" w:hAnsi="Times New Roman" w:cs="Times New Roman"/>
                <w:b/>
                <w:sz w:val="24"/>
                <w:szCs w:val="24"/>
              </w:rPr>
            </w:pPr>
            <w:r w:rsidRPr="00CC08D4">
              <w:rPr>
                <w:rFonts w:ascii="Times New Roman" w:hAnsi="Times New Roman" w:cs="Times New Roman"/>
                <w:b/>
                <w:sz w:val="24"/>
                <w:szCs w:val="24"/>
              </w:rPr>
              <w:t>Grand</w:t>
            </w:r>
            <w:r w:rsidRPr="00CC08D4">
              <w:rPr>
                <w:rFonts w:ascii="Times New Roman" w:hAnsi="Times New Roman" w:cs="Times New Roman"/>
                <w:b/>
                <w:spacing w:val="23"/>
                <w:sz w:val="24"/>
                <w:szCs w:val="24"/>
              </w:rPr>
              <w:t xml:space="preserve"> </w:t>
            </w:r>
            <w:r w:rsidRPr="00CC08D4">
              <w:rPr>
                <w:rFonts w:ascii="Times New Roman" w:hAnsi="Times New Roman" w:cs="Times New Roman"/>
                <w:b/>
                <w:spacing w:val="-2"/>
                <w:sz w:val="24"/>
                <w:szCs w:val="24"/>
              </w:rPr>
              <w:t>Total</w:t>
            </w:r>
          </w:p>
        </w:tc>
        <w:tc>
          <w:tcPr>
            <w:tcW w:w="547" w:type="pct"/>
          </w:tcPr>
          <w:p w14:paraId="3AF36FE1" w14:textId="77777777" w:rsidR="00F91C60" w:rsidRPr="00CC08D4" w:rsidRDefault="00F91C60" w:rsidP="00F91C60">
            <w:pPr>
              <w:pStyle w:val="TableParagraph"/>
              <w:rPr>
                <w:rFonts w:ascii="Times New Roman" w:hAnsi="Times New Roman" w:cs="Times New Roman"/>
                <w:sz w:val="24"/>
                <w:szCs w:val="24"/>
              </w:rPr>
            </w:pPr>
          </w:p>
        </w:tc>
        <w:tc>
          <w:tcPr>
            <w:tcW w:w="585" w:type="pct"/>
          </w:tcPr>
          <w:p w14:paraId="2817EE3F" w14:textId="77777777" w:rsidR="00F91C60" w:rsidRPr="00CC08D4" w:rsidRDefault="00F91C60" w:rsidP="00F91C60">
            <w:pPr>
              <w:pStyle w:val="TableParagraph"/>
              <w:rPr>
                <w:rFonts w:ascii="Times New Roman" w:hAnsi="Times New Roman" w:cs="Times New Roman"/>
                <w:sz w:val="24"/>
                <w:szCs w:val="24"/>
              </w:rPr>
            </w:pPr>
          </w:p>
        </w:tc>
        <w:tc>
          <w:tcPr>
            <w:tcW w:w="591" w:type="pct"/>
          </w:tcPr>
          <w:p w14:paraId="391BA2C1" w14:textId="77777777" w:rsidR="00F91C60" w:rsidRPr="00CC08D4" w:rsidRDefault="00F91C60" w:rsidP="00F91C60">
            <w:pPr>
              <w:pStyle w:val="TableParagraph"/>
              <w:rPr>
                <w:rFonts w:ascii="Times New Roman" w:hAnsi="Times New Roman" w:cs="Times New Roman"/>
                <w:sz w:val="24"/>
                <w:szCs w:val="24"/>
              </w:rPr>
            </w:pPr>
          </w:p>
        </w:tc>
        <w:tc>
          <w:tcPr>
            <w:tcW w:w="548" w:type="pct"/>
          </w:tcPr>
          <w:p w14:paraId="743FA4F8" w14:textId="77777777" w:rsidR="00F91C60" w:rsidRPr="00CC08D4" w:rsidRDefault="00F91C60" w:rsidP="00F91C60">
            <w:pPr>
              <w:pStyle w:val="TableParagraph"/>
              <w:rPr>
                <w:rFonts w:ascii="Times New Roman" w:hAnsi="Times New Roman" w:cs="Times New Roman"/>
                <w:sz w:val="24"/>
                <w:szCs w:val="24"/>
              </w:rPr>
            </w:pPr>
          </w:p>
        </w:tc>
        <w:tc>
          <w:tcPr>
            <w:tcW w:w="685" w:type="pct"/>
          </w:tcPr>
          <w:p w14:paraId="48A8BCA6" w14:textId="77777777" w:rsidR="00F91C60" w:rsidRPr="00CC08D4" w:rsidRDefault="00F91C60" w:rsidP="00F91C60">
            <w:pPr>
              <w:pStyle w:val="TableParagraph"/>
              <w:rPr>
                <w:rFonts w:ascii="Times New Roman" w:hAnsi="Times New Roman" w:cs="Times New Roman"/>
                <w:sz w:val="24"/>
                <w:szCs w:val="24"/>
              </w:rPr>
            </w:pPr>
          </w:p>
        </w:tc>
        <w:tc>
          <w:tcPr>
            <w:tcW w:w="679" w:type="pct"/>
          </w:tcPr>
          <w:p w14:paraId="0C59FE34" w14:textId="77777777" w:rsidR="00F91C60" w:rsidRPr="00CC08D4" w:rsidRDefault="00F91C60" w:rsidP="00F91C60">
            <w:pPr>
              <w:pStyle w:val="TableParagraph"/>
              <w:rPr>
                <w:rFonts w:ascii="Times New Roman" w:hAnsi="Times New Roman" w:cs="Times New Roman"/>
                <w:sz w:val="24"/>
                <w:szCs w:val="24"/>
              </w:rPr>
            </w:pPr>
          </w:p>
        </w:tc>
      </w:tr>
    </w:tbl>
    <w:p w14:paraId="247FD884" w14:textId="77777777" w:rsidR="00CC08D4" w:rsidRPr="00CC08D4" w:rsidRDefault="00CC08D4" w:rsidP="00CC08D4">
      <w:pPr>
        <w:pStyle w:val="BodyText"/>
        <w:spacing w:before="252"/>
        <w:rPr>
          <w:rFonts w:ascii="Times New Roman" w:hAnsi="Times New Roman" w:cs="Times New Roman"/>
          <w:sz w:val="24"/>
          <w:szCs w:val="24"/>
        </w:rPr>
      </w:pPr>
    </w:p>
    <w:p w14:paraId="57A20CE7" w14:textId="77777777" w:rsidR="00CC08D4" w:rsidRPr="000F51F9" w:rsidRDefault="00CC08D4" w:rsidP="000F51F9">
      <w:pPr>
        <w:pStyle w:val="BodyText"/>
        <w:spacing w:before="1" w:line="292" w:lineRule="auto"/>
        <w:ind w:left="195" w:right="355"/>
        <w:jc w:val="both"/>
        <w:rPr>
          <w:rFonts w:ascii="Times New Roman" w:hAnsi="Times New Roman" w:cs="Times New Roman"/>
          <w:i/>
          <w:iCs/>
          <w:sz w:val="24"/>
          <w:szCs w:val="24"/>
        </w:rPr>
      </w:pPr>
      <w:r w:rsidRPr="000F51F9">
        <w:rPr>
          <w:rFonts w:ascii="Times New Roman" w:hAnsi="Times New Roman" w:cs="Times New Roman"/>
          <w:b/>
          <w:i/>
          <w:iCs/>
          <w:sz w:val="24"/>
          <w:szCs w:val="24"/>
        </w:rPr>
        <w:t>^</w:t>
      </w:r>
      <w:r w:rsidRPr="000F51F9">
        <w:rPr>
          <w:rFonts w:ascii="Times New Roman" w:hAnsi="Times New Roman" w:cs="Times New Roman"/>
          <w:b/>
          <w:i/>
          <w:iCs/>
          <w:spacing w:val="18"/>
          <w:sz w:val="24"/>
          <w:szCs w:val="24"/>
        </w:rPr>
        <w:t xml:space="preserve"> </w:t>
      </w:r>
      <w:r w:rsidRPr="000F51F9">
        <w:rPr>
          <w:rFonts w:ascii="Times New Roman" w:hAnsi="Times New Roman" w:cs="Times New Roman"/>
          <w:i/>
          <w:iCs/>
          <w:sz w:val="24"/>
          <w:szCs w:val="24"/>
        </w:rPr>
        <w:t>Average</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Resolution</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time</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is</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the</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sum</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total</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of</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time</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taken</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to</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resolve</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each</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complaint</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in</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days</w:t>
      </w:r>
      <w:r w:rsidRPr="000F51F9">
        <w:rPr>
          <w:rFonts w:ascii="Times New Roman" w:hAnsi="Times New Roman" w:cs="Times New Roman"/>
          <w:i/>
          <w:iCs/>
          <w:spacing w:val="19"/>
          <w:sz w:val="24"/>
          <w:szCs w:val="24"/>
        </w:rPr>
        <w:t xml:space="preserve"> </w:t>
      </w:r>
      <w:r w:rsidRPr="000F51F9">
        <w:rPr>
          <w:rFonts w:ascii="Times New Roman" w:hAnsi="Times New Roman" w:cs="Times New Roman"/>
          <w:i/>
          <w:iCs/>
          <w:sz w:val="24"/>
          <w:szCs w:val="24"/>
        </w:rPr>
        <w:t>in</w:t>
      </w:r>
      <w:r w:rsidRPr="000F51F9">
        <w:rPr>
          <w:rFonts w:ascii="Times New Roman" w:hAnsi="Times New Roman" w:cs="Times New Roman"/>
          <w:i/>
          <w:iCs/>
          <w:spacing w:val="18"/>
          <w:sz w:val="24"/>
          <w:szCs w:val="24"/>
        </w:rPr>
        <w:t xml:space="preserve"> </w:t>
      </w:r>
      <w:r w:rsidRPr="000F51F9">
        <w:rPr>
          <w:rFonts w:ascii="Times New Roman" w:hAnsi="Times New Roman" w:cs="Times New Roman"/>
          <w:i/>
          <w:iCs/>
          <w:sz w:val="24"/>
          <w:szCs w:val="24"/>
        </w:rPr>
        <w:t>the current</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quarter</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divided</w:t>
      </w:r>
      <w:r w:rsidRPr="000F51F9">
        <w:rPr>
          <w:rFonts w:ascii="Times New Roman" w:hAnsi="Times New Roman" w:cs="Times New Roman"/>
          <w:i/>
          <w:iCs/>
          <w:spacing w:val="36"/>
          <w:sz w:val="24"/>
          <w:szCs w:val="24"/>
        </w:rPr>
        <w:t xml:space="preserve"> </w:t>
      </w:r>
      <w:r w:rsidRPr="000F51F9">
        <w:rPr>
          <w:rFonts w:ascii="Times New Roman" w:hAnsi="Times New Roman" w:cs="Times New Roman"/>
          <w:i/>
          <w:iCs/>
          <w:sz w:val="24"/>
          <w:szCs w:val="24"/>
        </w:rPr>
        <w:t>by</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total</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number</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of</w:t>
      </w:r>
      <w:r w:rsidRPr="000F51F9">
        <w:rPr>
          <w:rFonts w:ascii="Times New Roman" w:hAnsi="Times New Roman" w:cs="Times New Roman"/>
          <w:i/>
          <w:iCs/>
          <w:spacing w:val="38"/>
          <w:sz w:val="24"/>
          <w:szCs w:val="24"/>
        </w:rPr>
        <w:t xml:space="preserve"> </w:t>
      </w:r>
      <w:r w:rsidRPr="000F51F9">
        <w:rPr>
          <w:rFonts w:ascii="Times New Roman" w:hAnsi="Times New Roman" w:cs="Times New Roman"/>
          <w:i/>
          <w:iCs/>
          <w:sz w:val="24"/>
          <w:szCs w:val="24"/>
        </w:rPr>
        <w:t>complaints</w:t>
      </w:r>
      <w:r w:rsidRPr="000F51F9">
        <w:rPr>
          <w:rFonts w:ascii="Times New Roman" w:hAnsi="Times New Roman" w:cs="Times New Roman"/>
          <w:i/>
          <w:iCs/>
          <w:spacing w:val="35"/>
          <w:sz w:val="24"/>
          <w:szCs w:val="24"/>
        </w:rPr>
        <w:t xml:space="preserve"> </w:t>
      </w:r>
      <w:r w:rsidRPr="000F51F9">
        <w:rPr>
          <w:rFonts w:ascii="Times New Roman" w:hAnsi="Times New Roman" w:cs="Times New Roman"/>
          <w:i/>
          <w:iCs/>
          <w:sz w:val="24"/>
          <w:szCs w:val="24"/>
        </w:rPr>
        <w:t>resolved</w:t>
      </w:r>
      <w:r w:rsidRPr="000F51F9">
        <w:rPr>
          <w:rFonts w:ascii="Times New Roman" w:hAnsi="Times New Roman" w:cs="Times New Roman"/>
          <w:i/>
          <w:iCs/>
          <w:spacing w:val="35"/>
          <w:sz w:val="24"/>
          <w:szCs w:val="24"/>
        </w:rPr>
        <w:t xml:space="preserve"> </w:t>
      </w:r>
      <w:r w:rsidRPr="000F51F9">
        <w:rPr>
          <w:rFonts w:ascii="Times New Roman" w:hAnsi="Times New Roman" w:cs="Times New Roman"/>
          <w:i/>
          <w:iCs/>
          <w:sz w:val="24"/>
          <w:szCs w:val="24"/>
        </w:rPr>
        <w:t>in</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the</w:t>
      </w:r>
      <w:r w:rsidRPr="000F51F9">
        <w:rPr>
          <w:rFonts w:ascii="Times New Roman" w:hAnsi="Times New Roman" w:cs="Times New Roman"/>
          <w:i/>
          <w:iCs/>
          <w:spacing w:val="35"/>
          <w:sz w:val="24"/>
          <w:szCs w:val="24"/>
        </w:rPr>
        <w:t xml:space="preserve"> </w:t>
      </w:r>
      <w:r w:rsidRPr="000F51F9">
        <w:rPr>
          <w:rFonts w:ascii="Times New Roman" w:hAnsi="Times New Roman" w:cs="Times New Roman"/>
          <w:i/>
          <w:iCs/>
          <w:sz w:val="24"/>
          <w:szCs w:val="24"/>
        </w:rPr>
        <w:t>current</w:t>
      </w:r>
      <w:r w:rsidRPr="000F51F9">
        <w:rPr>
          <w:rFonts w:ascii="Times New Roman" w:hAnsi="Times New Roman" w:cs="Times New Roman"/>
          <w:i/>
          <w:iCs/>
          <w:spacing w:val="33"/>
          <w:sz w:val="24"/>
          <w:szCs w:val="24"/>
        </w:rPr>
        <w:t xml:space="preserve"> </w:t>
      </w:r>
      <w:r w:rsidRPr="000F51F9">
        <w:rPr>
          <w:rFonts w:ascii="Times New Roman" w:hAnsi="Times New Roman" w:cs="Times New Roman"/>
          <w:i/>
          <w:iCs/>
          <w:sz w:val="24"/>
          <w:szCs w:val="24"/>
        </w:rPr>
        <w:t>quarter.</w:t>
      </w:r>
    </w:p>
    <w:p w14:paraId="7ED5E8A9" w14:textId="7A7946D7" w:rsidR="00CC08D4" w:rsidRPr="000F51F9" w:rsidRDefault="00CC08D4" w:rsidP="000F51F9">
      <w:pPr>
        <w:pStyle w:val="BodyText"/>
        <w:spacing w:before="199"/>
        <w:jc w:val="center"/>
        <w:rPr>
          <w:rFonts w:ascii="Times New Roman" w:hAnsi="Times New Roman" w:cs="Times New Roman"/>
          <w:b/>
          <w:bCs/>
          <w:sz w:val="24"/>
          <w:szCs w:val="24"/>
        </w:rPr>
      </w:pPr>
      <w:r w:rsidRPr="000F51F9">
        <w:rPr>
          <w:rFonts w:ascii="Times New Roman" w:hAnsi="Times New Roman" w:cs="Times New Roman"/>
          <w:b/>
          <w:bCs/>
          <w:sz w:val="24"/>
          <w:szCs w:val="24"/>
        </w:rPr>
        <w:t>Investor</w:t>
      </w:r>
      <w:r w:rsidRPr="000F51F9">
        <w:rPr>
          <w:rFonts w:ascii="Times New Roman" w:hAnsi="Times New Roman" w:cs="Times New Roman"/>
          <w:b/>
          <w:bCs/>
          <w:spacing w:val="14"/>
          <w:sz w:val="24"/>
          <w:szCs w:val="24"/>
        </w:rPr>
        <w:t xml:space="preserve"> </w:t>
      </w:r>
      <w:r w:rsidRPr="000F51F9">
        <w:rPr>
          <w:rFonts w:ascii="Times New Roman" w:hAnsi="Times New Roman" w:cs="Times New Roman"/>
          <w:b/>
          <w:bCs/>
          <w:sz w:val="24"/>
          <w:szCs w:val="24"/>
        </w:rPr>
        <w:t>complaints</w:t>
      </w:r>
      <w:r w:rsidRPr="000F51F9">
        <w:rPr>
          <w:rFonts w:ascii="Times New Roman" w:hAnsi="Times New Roman" w:cs="Times New Roman"/>
          <w:b/>
          <w:bCs/>
          <w:spacing w:val="16"/>
          <w:sz w:val="24"/>
          <w:szCs w:val="24"/>
        </w:rPr>
        <w:t xml:space="preserve"> </w:t>
      </w:r>
      <w:r w:rsidRPr="000F51F9">
        <w:rPr>
          <w:rFonts w:ascii="Times New Roman" w:hAnsi="Times New Roman" w:cs="Times New Roman"/>
          <w:b/>
          <w:bCs/>
          <w:sz w:val="24"/>
          <w:szCs w:val="24"/>
        </w:rPr>
        <w:t>data</w:t>
      </w:r>
      <w:r w:rsidRPr="000F51F9">
        <w:rPr>
          <w:rFonts w:ascii="Times New Roman" w:hAnsi="Times New Roman" w:cs="Times New Roman"/>
          <w:b/>
          <w:bCs/>
          <w:spacing w:val="15"/>
          <w:sz w:val="24"/>
          <w:szCs w:val="24"/>
        </w:rPr>
        <w:t xml:space="preserve"> </w:t>
      </w:r>
      <w:r w:rsidRPr="000F51F9">
        <w:rPr>
          <w:rFonts w:ascii="Times New Roman" w:hAnsi="Times New Roman" w:cs="Times New Roman"/>
          <w:b/>
          <w:bCs/>
          <w:sz w:val="24"/>
          <w:szCs w:val="24"/>
        </w:rPr>
        <w:t>for</w:t>
      </w:r>
      <w:r w:rsidRPr="000F51F9">
        <w:rPr>
          <w:rFonts w:ascii="Times New Roman" w:hAnsi="Times New Roman" w:cs="Times New Roman"/>
          <w:b/>
          <w:bCs/>
          <w:spacing w:val="15"/>
          <w:sz w:val="24"/>
          <w:szCs w:val="24"/>
        </w:rPr>
        <w:t xml:space="preserve"> </w:t>
      </w:r>
      <w:r w:rsidRPr="000F51F9">
        <w:rPr>
          <w:rFonts w:ascii="Times New Roman" w:hAnsi="Times New Roman" w:cs="Times New Roman"/>
          <w:b/>
          <w:bCs/>
          <w:sz w:val="24"/>
          <w:szCs w:val="24"/>
        </w:rPr>
        <w:t>last</w:t>
      </w:r>
      <w:r w:rsidRPr="000F51F9">
        <w:rPr>
          <w:rFonts w:ascii="Times New Roman" w:hAnsi="Times New Roman" w:cs="Times New Roman"/>
          <w:b/>
          <w:bCs/>
          <w:spacing w:val="14"/>
          <w:sz w:val="24"/>
          <w:szCs w:val="24"/>
        </w:rPr>
        <w:t xml:space="preserve"> </w:t>
      </w:r>
      <w:r w:rsidRPr="000F51F9">
        <w:rPr>
          <w:rFonts w:ascii="Times New Roman" w:hAnsi="Times New Roman" w:cs="Times New Roman"/>
          <w:b/>
          <w:bCs/>
          <w:sz w:val="24"/>
          <w:szCs w:val="24"/>
        </w:rPr>
        <w:t>three</w:t>
      </w:r>
      <w:r w:rsidRPr="000F51F9">
        <w:rPr>
          <w:rFonts w:ascii="Times New Roman" w:hAnsi="Times New Roman" w:cs="Times New Roman"/>
          <w:b/>
          <w:bCs/>
          <w:spacing w:val="14"/>
          <w:sz w:val="24"/>
          <w:szCs w:val="24"/>
        </w:rPr>
        <w:t xml:space="preserve"> </w:t>
      </w:r>
      <w:r w:rsidRPr="000F51F9">
        <w:rPr>
          <w:rFonts w:ascii="Times New Roman" w:hAnsi="Times New Roman" w:cs="Times New Roman"/>
          <w:b/>
          <w:bCs/>
          <w:sz w:val="24"/>
          <w:szCs w:val="24"/>
        </w:rPr>
        <w:t>Financial</w:t>
      </w:r>
      <w:r w:rsidRPr="000F51F9">
        <w:rPr>
          <w:rFonts w:ascii="Times New Roman" w:hAnsi="Times New Roman" w:cs="Times New Roman"/>
          <w:b/>
          <w:bCs/>
          <w:spacing w:val="15"/>
          <w:sz w:val="24"/>
          <w:szCs w:val="24"/>
        </w:rPr>
        <w:t xml:space="preserve"> </w:t>
      </w:r>
      <w:r w:rsidRPr="000F51F9">
        <w:rPr>
          <w:rFonts w:ascii="Times New Roman" w:hAnsi="Times New Roman" w:cs="Times New Roman"/>
          <w:b/>
          <w:bCs/>
          <w:sz w:val="24"/>
          <w:szCs w:val="24"/>
        </w:rPr>
        <w:t>Years</w:t>
      </w:r>
      <w:r w:rsidRPr="000F51F9">
        <w:rPr>
          <w:rFonts w:ascii="Times New Roman" w:hAnsi="Times New Roman" w:cs="Times New Roman"/>
          <w:b/>
          <w:bCs/>
          <w:spacing w:val="14"/>
          <w:sz w:val="24"/>
          <w:szCs w:val="24"/>
        </w:rPr>
        <w:t xml:space="preserve"> </w:t>
      </w:r>
      <w:r w:rsidRPr="000F51F9">
        <w:rPr>
          <w:rFonts w:ascii="Times New Roman" w:hAnsi="Times New Roman" w:cs="Times New Roman"/>
          <w:b/>
          <w:bCs/>
          <w:spacing w:val="-4"/>
          <w:sz w:val="24"/>
          <w:szCs w:val="24"/>
        </w:rPr>
        <w:t>(FY)</w:t>
      </w:r>
    </w:p>
    <w:p w14:paraId="6F4B8710" w14:textId="77777777" w:rsidR="00CC08D4" w:rsidRPr="00CC08D4" w:rsidRDefault="00CC08D4" w:rsidP="00CC08D4">
      <w:pPr>
        <w:pStyle w:val="BodyText"/>
        <w:spacing w:before="20" w:after="1"/>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313"/>
        <w:gridCol w:w="1753"/>
        <w:gridCol w:w="1915"/>
        <w:gridCol w:w="1123"/>
        <w:gridCol w:w="1388"/>
        <w:gridCol w:w="1524"/>
      </w:tblGrid>
      <w:tr w:rsidR="00CC08D4" w:rsidRPr="00CC08D4" w14:paraId="5FEADED7" w14:textId="77777777" w:rsidTr="00CC08D4">
        <w:trPr>
          <w:trHeight w:val="1060"/>
        </w:trPr>
        <w:tc>
          <w:tcPr>
            <w:tcW w:w="728" w:type="pct"/>
          </w:tcPr>
          <w:p w14:paraId="3F8971C4" w14:textId="646126E9" w:rsidR="00CC08D4" w:rsidRPr="00CC08D4" w:rsidRDefault="0004711A" w:rsidP="000F51F9">
            <w:pPr>
              <w:pStyle w:val="TableParagraph"/>
              <w:spacing w:line="255" w:lineRule="exact"/>
              <w:ind w:left="107"/>
              <w:jc w:val="center"/>
              <w:rPr>
                <w:rFonts w:ascii="Times New Roman" w:hAnsi="Times New Roman" w:cs="Times New Roman"/>
                <w:b/>
                <w:sz w:val="24"/>
                <w:szCs w:val="24"/>
              </w:rPr>
            </w:pPr>
            <w:r w:rsidRPr="00233463">
              <w:rPr>
                <w:rFonts w:ascii="Times New Roman" w:hAnsi="Times New Roman" w:cs="Times New Roman"/>
                <w:b/>
                <w:bCs/>
                <w:sz w:val="24"/>
                <w:szCs w:val="24"/>
              </w:rPr>
              <w:t>S. No.</w:t>
            </w:r>
          </w:p>
        </w:tc>
        <w:tc>
          <w:tcPr>
            <w:tcW w:w="972" w:type="pct"/>
          </w:tcPr>
          <w:p w14:paraId="16DE36E9" w14:textId="77777777" w:rsidR="00CC08D4" w:rsidRPr="00CC08D4" w:rsidRDefault="00CC08D4" w:rsidP="000F51F9">
            <w:pPr>
              <w:pStyle w:val="TableParagraph"/>
              <w:spacing w:line="255" w:lineRule="exact"/>
              <w:ind w:left="107"/>
              <w:jc w:val="center"/>
              <w:rPr>
                <w:rFonts w:ascii="Times New Roman" w:hAnsi="Times New Roman" w:cs="Times New Roman"/>
                <w:b/>
                <w:sz w:val="24"/>
                <w:szCs w:val="24"/>
              </w:rPr>
            </w:pPr>
            <w:r w:rsidRPr="00CC08D4">
              <w:rPr>
                <w:rFonts w:ascii="Times New Roman" w:hAnsi="Times New Roman" w:cs="Times New Roman"/>
                <w:b/>
                <w:spacing w:val="-4"/>
                <w:sz w:val="24"/>
                <w:szCs w:val="24"/>
              </w:rPr>
              <w:t>Year</w:t>
            </w:r>
          </w:p>
        </w:tc>
        <w:tc>
          <w:tcPr>
            <w:tcW w:w="1062" w:type="pct"/>
          </w:tcPr>
          <w:p w14:paraId="65ED3FCA" w14:textId="1E8DA17F" w:rsidR="00CC08D4" w:rsidRPr="00CC08D4" w:rsidRDefault="00CC08D4" w:rsidP="000F51F9">
            <w:pPr>
              <w:pStyle w:val="TableParagraph"/>
              <w:spacing w:line="247" w:lineRule="auto"/>
              <w:ind w:left="108"/>
              <w:jc w:val="center"/>
              <w:rPr>
                <w:rFonts w:ascii="Times New Roman" w:hAnsi="Times New Roman" w:cs="Times New Roman"/>
                <w:b/>
                <w:sz w:val="24"/>
                <w:szCs w:val="24"/>
              </w:rPr>
            </w:pPr>
            <w:r w:rsidRPr="00CC08D4">
              <w:rPr>
                <w:rFonts w:ascii="Times New Roman" w:hAnsi="Times New Roman" w:cs="Times New Roman"/>
                <w:b/>
                <w:spacing w:val="-2"/>
                <w:sz w:val="24"/>
                <w:szCs w:val="24"/>
              </w:rPr>
              <w:t>Carried</w:t>
            </w:r>
            <w:r w:rsidRPr="00CC08D4">
              <w:rPr>
                <w:rFonts w:ascii="Times New Roman" w:hAnsi="Times New Roman" w:cs="Times New Roman"/>
                <w:b/>
                <w:spacing w:val="-11"/>
                <w:sz w:val="24"/>
                <w:szCs w:val="24"/>
              </w:rPr>
              <w:t xml:space="preserve"> </w:t>
            </w:r>
            <w:r w:rsidRPr="00CC08D4">
              <w:rPr>
                <w:rFonts w:ascii="Times New Roman" w:hAnsi="Times New Roman" w:cs="Times New Roman"/>
                <w:b/>
                <w:spacing w:val="-2"/>
                <w:sz w:val="24"/>
                <w:szCs w:val="24"/>
              </w:rPr>
              <w:t xml:space="preserve">forward </w:t>
            </w:r>
            <w:r w:rsidR="000F51F9">
              <w:rPr>
                <w:rFonts w:ascii="Times New Roman" w:hAnsi="Times New Roman" w:cs="Times New Roman"/>
                <w:b/>
                <w:spacing w:val="-2"/>
                <w:sz w:val="24"/>
                <w:szCs w:val="24"/>
              </w:rPr>
              <w:t>f</w:t>
            </w:r>
            <w:r w:rsidRPr="00CC08D4">
              <w:rPr>
                <w:rFonts w:ascii="Times New Roman" w:hAnsi="Times New Roman" w:cs="Times New Roman"/>
                <w:b/>
                <w:sz w:val="24"/>
                <w:szCs w:val="24"/>
              </w:rPr>
              <w:t xml:space="preserve">rom previous </w:t>
            </w:r>
            <w:r w:rsidRPr="00CC08D4">
              <w:rPr>
                <w:rFonts w:ascii="Times New Roman" w:hAnsi="Times New Roman" w:cs="Times New Roman"/>
                <w:b/>
                <w:spacing w:val="-4"/>
                <w:sz w:val="24"/>
                <w:szCs w:val="24"/>
              </w:rPr>
              <w:t>year</w:t>
            </w:r>
          </w:p>
        </w:tc>
        <w:tc>
          <w:tcPr>
            <w:tcW w:w="623" w:type="pct"/>
          </w:tcPr>
          <w:p w14:paraId="59B51C98" w14:textId="77777777" w:rsidR="00CC08D4" w:rsidRPr="00CC08D4" w:rsidRDefault="00CC08D4" w:rsidP="000F51F9">
            <w:pPr>
              <w:pStyle w:val="TableParagraph"/>
              <w:spacing w:line="255" w:lineRule="exact"/>
              <w:ind w:left="106"/>
              <w:jc w:val="center"/>
              <w:rPr>
                <w:rFonts w:ascii="Times New Roman" w:hAnsi="Times New Roman" w:cs="Times New Roman"/>
                <w:b/>
                <w:sz w:val="24"/>
                <w:szCs w:val="24"/>
              </w:rPr>
            </w:pPr>
            <w:r w:rsidRPr="00CC08D4">
              <w:rPr>
                <w:rFonts w:ascii="Times New Roman" w:hAnsi="Times New Roman" w:cs="Times New Roman"/>
                <w:b/>
                <w:spacing w:val="-2"/>
                <w:sz w:val="24"/>
                <w:szCs w:val="24"/>
              </w:rPr>
              <w:t>Received</w:t>
            </w:r>
          </w:p>
        </w:tc>
        <w:tc>
          <w:tcPr>
            <w:tcW w:w="770" w:type="pct"/>
          </w:tcPr>
          <w:p w14:paraId="1416E8DC" w14:textId="77777777" w:rsidR="00CC08D4" w:rsidRPr="00CC08D4" w:rsidRDefault="00CC08D4" w:rsidP="000F51F9">
            <w:pPr>
              <w:pStyle w:val="TableParagraph"/>
              <w:spacing w:line="255" w:lineRule="exact"/>
              <w:ind w:left="105"/>
              <w:jc w:val="center"/>
              <w:rPr>
                <w:rFonts w:ascii="Times New Roman" w:hAnsi="Times New Roman" w:cs="Times New Roman"/>
                <w:b/>
                <w:sz w:val="24"/>
                <w:szCs w:val="24"/>
              </w:rPr>
            </w:pPr>
            <w:r w:rsidRPr="00CC08D4">
              <w:rPr>
                <w:rFonts w:ascii="Times New Roman" w:hAnsi="Times New Roman" w:cs="Times New Roman"/>
                <w:b/>
                <w:spacing w:val="-2"/>
                <w:sz w:val="24"/>
                <w:szCs w:val="24"/>
              </w:rPr>
              <w:t>Resolved</w:t>
            </w:r>
          </w:p>
        </w:tc>
        <w:tc>
          <w:tcPr>
            <w:tcW w:w="845" w:type="pct"/>
          </w:tcPr>
          <w:p w14:paraId="09C83020" w14:textId="18820E91" w:rsidR="00CC08D4" w:rsidRPr="00CC08D4" w:rsidRDefault="00CC08D4" w:rsidP="001B121A">
            <w:pPr>
              <w:pStyle w:val="TableParagraph"/>
              <w:tabs>
                <w:tab w:val="left" w:pos="656"/>
              </w:tabs>
              <w:spacing w:line="247" w:lineRule="auto"/>
              <w:ind w:left="106" w:right="459"/>
              <w:jc w:val="center"/>
              <w:rPr>
                <w:rFonts w:ascii="Times New Roman" w:hAnsi="Times New Roman" w:cs="Times New Roman"/>
                <w:b/>
                <w:sz w:val="24"/>
                <w:szCs w:val="24"/>
              </w:rPr>
            </w:pPr>
            <w:r w:rsidRPr="00CC08D4">
              <w:rPr>
                <w:rFonts w:ascii="Times New Roman" w:hAnsi="Times New Roman" w:cs="Times New Roman"/>
                <w:b/>
                <w:spacing w:val="-2"/>
                <w:sz w:val="24"/>
                <w:szCs w:val="24"/>
              </w:rPr>
              <w:t xml:space="preserve">Pending </w:t>
            </w:r>
            <w:r w:rsidRPr="00CC08D4">
              <w:rPr>
                <w:rFonts w:ascii="Times New Roman" w:hAnsi="Times New Roman" w:cs="Times New Roman"/>
                <w:b/>
                <w:spacing w:val="-5"/>
                <w:sz w:val="24"/>
                <w:szCs w:val="24"/>
              </w:rPr>
              <w:t>at</w:t>
            </w:r>
            <w:r w:rsidRPr="00CC08D4">
              <w:rPr>
                <w:rFonts w:ascii="Times New Roman" w:hAnsi="Times New Roman" w:cs="Times New Roman"/>
                <w:b/>
                <w:sz w:val="24"/>
                <w:szCs w:val="24"/>
              </w:rPr>
              <w:tab/>
            </w:r>
            <w:r w:rsidRPr="00CC08D4">
              <w:rPr>
                <w:rFonts w:ascii="Times New Roman" w:hAnsi="Times New Roman" w:cs="Times New Roman"/>
                <w:b/>
                <w:spacing w:val="-8"/>
                <w:sz w:val="24"/>
                <w:szCs w:val="24"/>
              </w:rPr>
              <w:t>the</w:t>
            </w:r>
            <w:r w:rsidR="001B121A">
              <w:rPr>
                <w:rFonts w:ascii="Times New Roman" w:hAnsi="Times New Roman" w:cs="Times New Roman"/>
                <w:b/>
                <w:spacing w:val="-8"/>
                <w:sz w:val="24"/>
                <w:szCs w:val="24"/>
              </w:rPr>
              <w:t xml:space="preserve"> </w:t>
            </w:r>
            <w:r w:rsidRPr="00CC08D4">
              <w:rPr>
                <w:rFonts w:ascii="Times New Roman" w:hAnsi="Times New Roman" w:cs="Times New Roman"/>
                <w:b/>
                <w:spacing w:val="-5"/>
                <w:sz w:val="24"/>
                <w:szCs w:val="24"/>
              </w:rPr>
              <w:t>end</w:t>
            </w:r>
            <w:r w:rsidRPr="00CC08D4">
              <w:rPr>
                <w:rFonts w:ascii="Times New Roman" w:hAnsi="Times New Roman" w:cs="Times New Roman"/>
                <w:b/>
                <w:sz w:val="24"/>
                <w:szCs w:val="24"/>
              </w:rPr>
              <w:tab/>
            </w:r>
            <w:r w:rsidRPr="00CC08D4">
              <w:rPr>
                <w:rFonts w:ascii="Times New Roman" w:hAnsi="Times New Roman" w:cs="Times New Roman"/>
                <w:b/>
                <w:spacing w:val="-5"/>
                <w:sz w:val="24"/>
                <w:szCs w:val="24"/>
              </w:rPr>
              <w:t>of</w:t>
            </w:r>
            <w:r w:rsidR="001B121A">
              <w:rPr>
                <w:rFonts w:ascii="Times New Roman" w:hAnsi="Times New Roman" w:cs="Times New Roman"/>
                <w:b/>
                <w:spacing w:val="-5"/>
                <w:sz w:val="24"/>
                <w:szCs w:val="24"/>
              </w:rPr>
              <w:t xml:space="preserve"> </w:t>
            </w:r>
            <w:r w:rsidRPr="00CC08D4">
              <w:rPr>
                <w:rFonts w:ascii="Times New Roman" w:hAnsi="Times New Roman" w:cs="Times New Roman"/>
                <w:b/>
                <w:spacing w:val="-5"/>
                <w:w w:val="105"/>
                <w:sz w:val="24"/>
                <w:szCs w:val="24"/>
              </w:rPr>
              <w:t>FY</w:t>
            </w:r>
          </w:p>
        </w:tc>
      </w:tr>
      <w:tr w:rsidR="00CC08D4" w:rsidRPr="00CC08D4" w14:paraId="4EB53C3A" w14:textId="77777777" w:rsidTr="00CC08D4">
        <w:trPr>
          <w:trHeight w:val="273"/>
        </w:trPr>
        <w:tc>
          <w:tcPr>
            <w:tcW w:w="728" w:type="pct"/>
          </w:tcPr>
          <w:p w14:paraId="5073C62E" w14:textId="77777777" w:rsidR="00CC08D4" w:rsidRPr="00CC08D4" w:rsidRDefault="00CC08D4" w:rsidP="0004711A">
            <w:pPr>
              <w:pStyle w:val="TableParagraph"/>
              <w:spacing w:before="2" w:line="251" w:lineRule="exact"/>
              <w:ind w:left="107"/>
              <w:jc w:val="center"/>
              <w:rPr>
                <w:rFonts w:ascii="Times New Roman" w:hAnsi="Times New Roman" w:cs="Times New Roman"/>
                <w:sz w:val="24"/>
                <w:szCs w:val="24"/>
              </w:rPr>
            </w:pPr>
            <w:r w:rsidRPr="00CC08D4">
              <w:rPr>
                <w:rFonts w:ascii="Times New Roman" w:hAnsi="Times New Roman" w:cs="Times New Roman"/>
                <w:spacing w:val="-10"/>
                <w:sz w:val="24"/>
                <w:szCs w:val="24"/>
              </w:rPr>
              <w:t>1</w:t>
            </w:r>
          </w:p>
        </w:tc>
        <w:tc>
          <w:tcPr>
            <w:tcW w:w="972" w:type="pct"/>
          </w:tcPr>
          <w:p w14:paraId="0486B805" w14:textId="0CDD08E1" w:rsidR="00CC08D4" w:rsidRPr="00CC08D4" w:rsidRDefault="0004711A" w:rsidP="0017182F">
            <w:pPr>
              <w:pStyle w:val="TableParagraph"/>
              <w:spacing w:before="2" w:line="251" w:lineRule="exact"/>
              <w:ind w:left="107"/>
              <w:rPr>
                <w:rFonts w:ascii="Times New Roman" w:hAnsi="Times New Roman" w:cs="Times New Roman"/>
                <w:sz w:val="24"/>
                <w:szCs w:val="24"/>
              </w:rPr>
            </w:pPr>
            <w:r>
              <w:rPr>
                <w:rFonts w:ascii="Times New Roman" w:hAnsi="Times New Roman" w:cs="Times New Roman"/>
                <w:w w:val="90"/>
                <w:sz w:val="24"/>
                <w:szCs w:val="24"/>
              </w:rPr>
              <w:t>2024-25</w:t>
            </w:r>
          </w:p>
        </w:tc>
        <w:tc>
          <w:tcPr>
            <w:tcW w:w="1062" w:type="pct"/>
          </w:tcPr>
          <w:p w14:paraId="3F4E3B1C" w14:textId="77777777" w:rsidR="00CC08D4" w:rsidRPr="00CC08D4" w:rsidRDefault="00CC08D4" w:rsidP="0017182F">
            <w:pPr>
              <w:pStyle w:val="TableParagraph"/>
              <w:rPr>
                <w:rFonts w:ascii="Times New Roman" w:hAnsi="Times New Roman" w:cs="Times New Roman"/>
                <w:sz w:val="24"/>
                <w:szCs w:val="24"/>
              </w:rPr>
            </w:pPr>
          </w:p>
        </w:tc>
        <w:tc>
          <w:tcPr>
            <w:tcW w:w="623" w:type="pct"/>
          </w:tcPr>
          <w:p w14:paraId="373E69DA" w14:textId="77777777" w:rsidR="00CC08D4" w:rsidRPr="00CC08D4" w:rsidRDefault="00CC08D4" w:rsidP="0017182F">
            <w:pPr>
              <w:pStyle w:val="TableParagraph"/>
              <w:rPr>
                <w:rFonts w:ascii="Times New Roman" w:hAnsi="Times New Roman" w:cs="Times New Roman"/>
                <w:sz w:val="24"/>
                <w:szCs w:val="24"/>
              </w:rPr>
            </w:pPr>
          </w:p>
        </w:tc>
        <w:tc>
          <w:tcPr>
            <w:tcW w:w="770" w:type="pct"/>
          </w:tcPr>
          <w:p w14:paraId="706FB160" w14:textId="77777777" w:rsidR="00CC08D4" w:rsidRPr="00CC08D4" w:rsidRDefault="00CC08D4" w:rsidP="0017182F">
            <w:pPr>
              <w:pStyle w:val="TableParagraph"/>
              <w:rPr>
                <w:rFonts w:ascii="Times New Roman" w:hAnsi="Times New Roman" w:cs="Times New Roman"/>
                <w:sz w:val="24"/>
                <w:szCs w:val="24"/>
              </w:rPr>
            </w:pPr>
          </w:p>
        </w:tc>
        <w:tc>
          <w:tcPr>
            <w:tcW w:w="845" w:type="pct"/>
          </w:tcPr>
          <w:p w14:paraId="07F4A045" w14:textId="77777777" w:rsidR="00CC08D4" w:rsidRPr="00CC08D4" w:rsidRDefault="00CC08D4" w:rsidP="0017182F">
            <w:pPr>
              <w:pStyle w:val="TableParagraph"/>
              <w:rPr>
                <w:rFonts w:ascii="Times New Roman" w:hAnsi="Times New Roman" w:cs="Times New Roman"/>
                <w:sz w:val="24"/>
                <w:szCs w:val="24"/>
              </w:rPr>
            </w:pPr>
          </w:p>
        </w:tc>
      </w:tr>
      <w:tr w:rsidR="00CC08D4" w:rsidRPr="00CC08D4" w14:paraId="18E7A2E8" w14:textId="77777777" w:rsidTr="00CC08D4">
        <w:trPr>
          <w:trHeight w:val="273"/>
        </w:trPr>
        <w:tc>
          <w:tcPr>
            <w:tcW w:w="728" w:type="pct"/>
          </w:tcPr>
          <w:p w14:paraId="19D449A6" w14:textId="77777777" w:rsidR="00CC08D4" w:rsidRPr="00CC08D4" w:rsidRDefault="00CC08D4" w:rsidP="0004711A">
            <w:pPr>
              <w:pStyle w:val="TableParagraph"/>
              <w:spacing w:before="2" w:line="251" w:lineRule="exact"/>
              <w:ind w:left="107"/>
              <w:jc w:val="center"/>
              <w:rPr>
                <w:rFonts w:ascii="Times New Roman" w:hAnsi="Times New Roman" w:cs="Times New Roman"/>
                <w:sz w:val="24"/>
                <w:szCs w:val="24"/>
              </w:rPr>
            </w:pPr>
            <w:r w:rsidRPr="00CC08D4">
              <w:rPr>
                <w:rFonts w:ascii="Times New Roman" w:hAnsi="Times New Roman" w:cs="Times New Roman"/>
                <w:spacing w:val="-10"/>
                <w:sz w:val="24"/>
                <w:szCs w:val="24"/>
              </w:rPr>
              <w:t>2</w:t>
            </w:r>
          </w:p>
        </w:tc>
        <w:tc>
          <w:tcPr>
            <w:tcW w:w="972" w:type="pct"/>
          </w:tcPr>
          <w:p w14:paraId="001A3136" w14:textId="3CA08599" w:rsidR="00CC08D4" w:rsidRPr="00CC08D4" w:rsidRDefault="0004711A" w:rsidP="0017182F">
            <w:pPr>
              <w:pStyle w:val="TableParagraph"/>
              <w:spacing w:before="2" w:line="251" w:lineRule="exact"/>
              <w:ind w:left="107"/>
              <w:rPr>
                <w:rFonts w:ascii="Times New Roman" w:hAnsi="Times New Roman" w:cs="Times New Roman"/>
                <w:sz w:val="24"/>
                <w:szCs w:val="24"/>
              </w:rPr>
            </w:pPr>
            <w:r>
              <w:rPr>
                <w:rFonts w:ascii="Times New Roman" w:hAnsi="Times New Roman" w:cs="Times New Roman"/>
                <w:sz w:val="24"/>
                <w:szCs w:val="24"/>
              </w:rPr>
              <w:t>2025-26</w:t>
            </w:r>
          </w:p>
        </w:tc>
        <w:tc>
          <w:tcPr>
            <w:tcW w:w="1062" w:type="pct"/>
          </w:tcPr>
          <w:p w14:paraId="07DE982C" w14:textId="77777777" w:rsidR="00CC08D4" w:rsidRPr="00CC08D4" w:rsidRDefault="00CC08D4" w:rsidP="0017182F">
            <w:pPr>
              <w:pStyle w:val="TableParagraph"/>
              <w:rPr>
                <w:rFonts w:ascii="Times New Roman" w:hAnsi="Times New Roman" w:cs="Times New Roman"/>
                <w:sz w:val="24"/>
                <w:szCs w:val="24"/>
              </w:rPr>
            </w:pPr>
          </w:p>
        </w:tc>
        <w:tc>
          <w:tcPr>
            <w:tcW w:w="623" w:type="pct"/>
          </w:tcPr>
          <w:p w14:paraId="01808244" w14:textId="77777777" w:rsidR="00CC08D4" w:rsidRPr="00CC08D4" w:rsidRDefault="00CC08D4" w:rsidP="0017182F">
            <w:pPr>
              <w:pStyle w:val="TableParagraph"/>
              <w:rPr>
                <w:rFonts w:ascii="Times New Roman" w:hAnsi="Times New Roman" w:cs="Times New Roman"/>
                <w:sz w:val="24"/>
                <w:szCs w:val="24"/>
              </w:rPr>
            </w:pPr>
          </w:p>
        </w:tc>
        <w:tc>
          <w:tcPr>
            <w:tcW w:w="770" w:type="pct"/>
          </w:tcPr>
          <w:p w14:paraId="3A1227FC" w14:textId="77777777" w:rsidR="00CC08D4" w:rsidRPr="00CC08D4" w:rsidRDefault="00CC08D4" w:rsidP="0017182F">
            <w:pPr>
              <w:pStyle w:val="TableParagraph"/>
              <w:rPr>
                <w:rFonts w:ascii="Times New Roman" w:hAnsi="Times New Roman" w:cs="Times New Roman"/>
                <w:sz w:val="24"/>
                <w:szCs w:val="24"/>
              </w:rPr>
            </w:pPr>
          </w:p>
        </w:tc>
        <w:tc>
          <w:tcPr>
            <w:tcW w:w="845" w:type="pct"/>
          </w:tcPr>
          <w:p w14:paraId="6594CF75" w14:textId="77777777" w:rsidR="00CC08D4" w:rsidRPr="00CC08D4" w:rsidRDefault="00CC08D4" w:rsidP="0017182F">
            <w:pPr>
              <w:pStyle w:val="TableParagraph"/>
              <w:rPr>
                <w:rFonts w:ascii="Times New Roman" w:hAnsi="Times New Roman" w:cs="Times New Roman"/>
                <w:sz w:val="24"/>
                <w:szCs w:val="24"/>
              </w:rPr>
            </w:pPr>
          </w:p>
        </w:tc>
      </w:tr>
      <w:tr w:rsidR="00CC08D4" w:rsidRPr="00CC08D4" w14:paraId="356728E9" w14:textId="77777777" w:rsidTr="00CC08D4">
        <w:trPr>
          <w:trHeight w:val="273"/>
        </w:trPr>
        <w:tc>
          <w:tcPr>
            <w:tcW w:w="728" w:type="pct"/>
          </w:tcPr>
          <w:p w14:paraId="09616B3C" w14:textId="77777777" w:rsidR="00CC08D4" w:rsidRPr="00CC08D4" w:rsidRDefault="00CC08D4" w:rsidP="0004711A">
            <w:pPr>
              <w:pStyle w:val="TableParagraph"/>
              <w:spacing w:before="2" w:line="251" w:lineRule="exact"/>
              <w:ind w:left="107"/>
              <w:jc w:val="center"/>
              <w:rPr>
                <w:rFonts w:ascii="Times New Roman" w:hAnsi="Times New Roman" w:cs="Times New Roman"/>
                <w:sz w:val="24"/>
                <w:szCs w:val="24"/>
              </w:rPr>
            </w:pPr>
            <w:r w:rsidRPr="00CC08D4">
              <w:rPr>
                <w:rFonts w:ascii="Times New Roman" w:hAnsi="Times New Roman" w:cs="Times New Roman"/>
                <w:spacing w:val="-10"/>
                <w:sz w:val="24"/>
                <w:szCs w:val="24"/>
              </w:rPr>
              <w:t>3</w:t>
            </w:r>
          </w:p>
        </w:tc>
        <w:tc>
          <w:tcPr>
            <w:tcW w:w="972" w:type="pct"/>
          </w:tcPr>
          <w:p w14:paraId="795BA52D" w14:textId="12A02635" w:rsidR="00CC08D4" w:rsidRPr="00CC08D4" w:rsidRDefault="0004711A" w:rsidP="0017182F">
            <w:pPr>
              <w:pStyle w:val="TableParagraph"/>
              <w:spacing w:before="2" w:line="251" w:lineRule="exact"/>
              <w:ind w:left="107"/>
              <w:rPr>
                <w:rFonts w:ascii="Times New Roman" w:hAnsi="Times New Roman" w:cs="Times New Roman"/>
                <w:sz w:val="24"/>
                <w:szCs w:val="24"/>
              </w:rPr>
            </w:pPr>
            <w:r>
              <w:rPr>
                <w:rFonts w:ascii="Times New Roman" w:hAnsi="Times New Roman" w:cs="Times New Roman"/>
                <w:sz w:val="24"/>
                <w:szCs w:val="24"/>
              </w:rPr>
              <w:t>2026-27</w:t>
            </w:r>
          </w:p>
        </w:tc>
        <w:tc>
          <w:tcPr>
            <w:tcW w:w="1062" w:type="pct"/>
          </w:tcPr>
          <w:p w14:paraId="4BDC9B05" w14:textId="77777777" w:rsidR="00CC08D4" w:rsidRPr="00CC08D4" w:rsidRDefault="00CC08D4" w:rsidP="0017182F">
            <w:pPr>
              <w:pStyle w:val="TableParagraph"/>
              <w:rPr>
                <w:rFonts w:ascii="Times New Roman" w:hAnsi="Times New Roman" w:cs="Times New Roman"/>
                <w:sz w:val="24"/>
                <w:szCs w:val="24"/>
              </w:rPr>
            </w:pPr>
          </w:p>
        </w:tc>
        <w:tc>
          <w:tcPr>
            <w:tcW w:w="623" w:type="pct"/>
          </w:tcPr>
          <w:p w14:paraId="6933E967" w14:textId="77777777" w:rsidR="00CC08D4" w:rsidRPr="00CC08D4" w:rsidRDefault="00CC08D4" w:rsidP="0017182F">
            <w:pPr>
              <w:pStyle w:val="TableParagraph"/>
              <w:rPr>
                <w:rFonts w:ascii="Times New Roman" w:hAnsi="Times New Roman" w:cs="Times New Roman"/>
                <w:sz w:val="24"/>
                <w:szCs w:val="24"/>
              </w:rPr>
            </w:pPr>
          </w:p>
        </w:tc>
        <w:tc>
          <w:tcPr>
            <w:tcW w:w="770" w:type="pct"/>
          </w:tcPr>
          <w:p w14:paraId="078E056A" w14:textId="77777777" w:rsidR="00CC08D4" w:rsidRPr="00CC08D4" w:rsidRDefault="00CC08D4" w:rsidP="0017182F">
            <w:pPr>
              <w:pStyle w:val="TableParagraph"/>
              <w:rPr>
                <w:rFonts w:ascii="Times New Roman" w:hAnsi="Times New Roman" w:cs="Times New Roman"/>
                <w:sz w:val="24"/>
                <w:szCs w:val="24"/>
              </w:rPr>
            </w:pPr>
          </w:p>
        </w:tc>
        <w:tc>
          <w:tcPr>
            <w:tcW w:w="845" w:type="pct"/>
          </w:tcPr>
          <w:p w14:paraId="6E7263AF" w14:textId="77777777" w:rsidR="00CC08D4" w:rsidRPr="00CC08D4" w:rsidRDefault="00CC08D4" w:rsidP="0017182F">
            <w:pPr>
              <w:pStyle w:val="TableParagraph"/>
              <w:rPr>
                <w:rFonts w:ascii="Times New Roman" w:hAnsi="Times New Roman" w:cs="Times New Roman"/>
                <w:sz w:val="24"/>
                <w:szCs w:val="24"/>
              </w:rPr>
            </w:pPr>
          </w:p>
        </w:tc>
      </w:tr>
      <w:tr w:rsidR="00CC08D4" w:rsidRPr="00CC08D4" w14:paraId="05FC7A52" w14:textId="77777777" w:rsidTr="00CC08D4">
        <w:trPr>
          <w:trHeight w:val="274"/>
        </w:trPr>
        <w:tc>
          <w:tcPr>
            <w:tcW w:w="728" w:type="pct"/>
          </w:tcPr>
          <w:p w14:paraId="519941B1" w14:textId="77777777" w:rsidR="00CC08D4" w:rsidRPr="00CC08D4" w:rsidRDefault="00CC08D4" w:rsidP="0017182F">
            <w:pPr>
              <w:pStyle w:val="TableParagraph"/>
              <w:rPr>
                <w:rFonts w:ascii="Times New Roman" w:hAnsi="Times New Roman" w:cs="Times New Roman"/>
                <w:sz w:val="24"/>
                <w:szCs w:val="24"/>
              </w:rPr>
            </w:pPr>
          </w:p>
        </w:tc>
        <w:tc>
          <w:tcPr>
            <w:tcW w:w="972" w:type="pct"/>
          </w:tcPr>
          <w:p w14:paraId="7F7A1557" w14:textId="77777777" w:rsidR="00CC08D4" w:rsidRPr="000F5545" w:rsidRDefault="00CC08D4" w:rsidP="0017182F">
            <w:pPr>
              <w:pStyle w:val="TableParagraph"/>
              <w:spacing w:before="3" w:line="251" w:lineRule="exact"/>
              <w:ind w:left="107"/>
              <w:rPr>
                <w:rFonts w:ascii="Times New Roman" w:hAnsi="Times New Roman" w:cs="Times New Roman"/>
                <w:b/>
                <w:bCs/>
                <w:sz w:val="24"/>
                <w:szCs w:val="24"/>
              </w:rPr>
            </w:pPr>
            <w:r w:rsidRPr="000F5545">
              <w:rPr>
                <w:rFonts w:ascii="Times New Roman" w:hAnsi="Times New Roman" w:cs="Times New Roman"/>
                <w:b/>
                <w:bCs/>
                <w:w w:val="105"/>
                <w:sz w:val="24"/>
                <w:szCs w:val="24"/>
              </w:rPr>
              <w:t>Grand</w:t>
            </w:r>
            <w:r w:rsidRPr="000F5545">
              <w:rPr>
                <w:rFonts w:ascii="Times New Roman" w:hAnsi="Times New Roman" w:cs="Times New Roman"/>
                <w:b/>
                <w:bCs/>
                <w:spacing w:val="22"/>
                <w:w w:val="105"/>
                <w:sz w:val="24"/>
                <w:szCs w:val="24"/>
              </w:rPr>
              <w:t xml:space="preserve"> </w:t>
            </w:r>
            <w:r w:rsidRPr="000F5545">
              <w:rPr>
                <w:rFonts w:ascii="Times New Roman" w:hAnsi="Times New Roman" w:cs="Times New Roman"/>
                <w:b/>
                <w:bCs/>
                <w:spacing w:val="-2"/>
                <w:w w:val="105"/>
                <w:sz w:val="24"/>
                <w:szCs w:val="24"/>
              </w:rPr>
              <w:t>Total</w:t>
            </w:r>
          </w:p>
        </w:tc>
        <w:tc>
          <w:tcPr>
            <w:tcW w:w="1062" w:type="pct"/>
          </w:tcPr>
          <w:p w14:paraId="099195FB" w14:textId="77777777" w:rsidR="00CC08D4" w:rsidRPr="00CC08D4" w:rsidRDefault="00CC08D4" w:rsidP="0017182F">
            <w:pPr>
              <w:pStyle w:val="TableParagraph"/>
              <w:rPr>
                <w:rFonts w:ascii="Times New Roman" w:hAnsi="Times New Roman" w:cs="Times New Roman"/>
                <w:sz w:val="24"/>
                <w:szCs w:val="24"/>
              </w:rPr>
            </w:pPr>
          </w:p>
        </w:tc>
        <w:tc>
          <w:tcPr>
            <w:tcW w:w="623" w:type="pct"/>
          </w:tcPr>
          <w:p w14:paraId="31337CE6" w14:textId="77777777" w:rsidR="00CC08D4" w:rsidRPr="00CC08D4" w:rsidRDefault="00CC08D4" w:rsidP="0017182F">
            <w:pPr>
              <w:pStyle w:val="TableParagraph"/>
              <w:rPr>
                <w:rFonts w:ascii="Times New Roman" w:hAnsi="Times New Roman" w:cs="Times New Roman"/>
                <w:sz w:val="24"/>
                <w:szCs w:val="24"/>
              </w:rPr>
            </w:pPr>
          </w:p>
        </w:tc>
        <w:tc>
          <w:tcPr>
            <w:tcW w:w="770" w:type="pct"/>
          </w:tcPr>
          <w:p w14:paraId="1F4B5EAB" w14:textId="77777777" w:rsidR="00CC08D4" w:rsidRPr="00CC08D4" w:rsidRDefault="00CC08D4" w:rsidP="0017182F">
            <w:pPr>
              <w:pStyle w:val="TableParagraph"/>
              <w:rPr>
                <w:rFonts w:ascii="Times New Roman" w:hAnsi="Times New Roman" w:cs="Times New Roman"/>
                <w:sz w:val="24"/>
                <w:szCs w:val="24"/>
              </w:rPr>
            </w:pPr>
          </w:p>
        </w:tc>
        <w:tc>
          <w:tcPr>
            <w:tcW w:w="845" w:type="pct"/>
          </w:tcPr>
          <w:p w14:paraId="297B9B2B" w14:textId="77777777" w:rsidR="00CC08D4" w:rsidRPr="00CC08D4" w:rsidRDefault="00CC08D4" w:rsidP="0017182F">
            <w:pPr>
              <w:pStyle w:val="TableParagraph"/>
              <w:rPr>
                <w:rFonts w:ascii="Times New Roman" w:hAnsi="Times New Roman" w:cs="Times New Roman"/>
                <w:sz w:val="24"/>
                <w:szCs w:val="24"/>
              </w:rPr>
            </w:pPr>
          </w:p>
        </w:tc>
      </w:tr>
    </w:tbl>
    <w:p w14:paraId="41ED4A05" w14:textId="77777777" w:rsidR="00CC08D4" w:rsidRDefault="00CC08D4" w:rsidP="00CC08D4"/>
    <w:p w14:paraId="4E1D8AC4" w14:textId="77777777" w:rsidR="008738C9" w:rsidRPr="00167DD5" w:rsidRDefault="008738C9" w:rsidP="009C1C8F">
      <w:pPr>
        <w:spacing w:line="360" w:lineRule="auto"/>
        <w:jc w:val="center"/>
        <w:rPr>
          <w:rFonts w:ascii="Times New Roman" w:hAnsi="Times New Roman" w:cs="Times New Roman"/>
          <w:sz w:val="24"/>
          <w:szCs w:val="24"/>
        </w:rPr>
      </w:pP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E44C9"/>
    <w:multiLevelType w:val="hybridMultilevel"/>
    <w:tmpl w:val="DFE28FC8"/>
    <w:lvl w:ilvl="0" w:tplc="321A6600">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625946"/>
    <w:multiLevelType w:val="hybridMultilevel"/>
    <w:tmpl w:val="71BE1FFA"/>
    <w:lvl w:ilvl="0" w:tplc="321A6600">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EEF06A7"/>
    <w:multiLevelType w:val="hybridMultilevel"/>
    <w:tmpl w:val="1902AD3C"/>
    <w:lvl w:ilvl="0" w:tplc="4009000B">
      <w:start w:val="1"/>
      <w:numFmt w:val="bullet"/>
      <w:lvlText w:val=""/>
      <w:lvlJc w:val="left"/>
      <w:pPr>
        <w:ind w:left="720" w:hanging="360"/>
      </w:pPr>
      <w:rPr>
        <w:rFonts w:ascii="Wingdings" w:hAnsi="Wingdings" w:hint="default"/>
      </w:rPr>
    </w:lvl>
    <w:lvl w:ilvl="1" w:tplc="71A09320">
      <w:start w:val="4"/>
      <w:numFmt w:val="bullet"/>
      <w:lvlText w:val="•"/>
      <w:lvlJc w:val="left"/>
      <w:pPr>
        <w:ind w:left="1800" w:hanging="720"/>
      </w:pPr>
      <w:rPr>
        <w:rFonts w:ascii="Times New Roman" w:eastAsiaTheme="minorHAnsi"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1397942"/>
    <w:multiLevelType w:val="hybridMultilevel"/>
    <w:tmpl w:val="125CBD2A"/>
    <w:lvl w:ilvl="0" w:tplc="8B3E32A4">
      <w:start w:val="1"/>
      <w:numFmt w:val="decimal"/>
      <w:lvlText w:val="%1."/>
      <w:lvlJc w:val="left"/>
      <w:pPr>
        <w:ind w:left="555" w:hanging="360"/>
      </w:pPr>
      <w:rPr>
        <w:rFonts w:hint="default"/>
      </w:rPr>
    </w:lvl>
    <w:lvl w:ilvl="1" w:tplc="40090019" w:tentative="1">
      <w:start w:val="1"/>
      <w:numFmt w:val="lowerLetter"/>
      <w:lvlText w:val="%2."/>
      <w:lvlJc w:val="left"/>
      <w:pPr>
        <w:ind w:left="1275" w:hanging="360"/>
      </w:pPr>
    </w:lvl>
    <w:lvl w:ilvl="2" w:tplc="4009001B" w:tentative="1">
      <w:start w:val="1"/>
      <w:numFmt w:val="lowerRoman"/>
      <w:lvlText w:val="%3."/>
      <w:lvlJc w:val="right"/>
      <w:pPr>
        <w:ind w:left="1995" w:hanging="180"/>
      </w:pPr>
    </w:lvl>
    <w:lvl w:ilvl="3" w:tplc="4009000F" w:tentative="1">
      <w:start w:val="1"/>
      <w:numFmt w:val="decimal"/>
      <w:lvlText w:val="%4."/>
      <w:lvlJc w:val="left"/>
      <w:pPr>
        <w:ind w:left="2715" w:hanging="360"/>
      </w:pPr>
    </w:lvl>
    <w:lvl w:ilvl="4" w:tplc="40090019" w:tentative="1">
      <w:start w:val="1"/>
      <w:numFmt w:val="lowerLetter"/>
      <w:lvlText w:val="%5."/>
      <w:lvlJc w:val="left"/>
      <w:pPr>
        <w:ind w:left="3435" w:hanging="360"/>
      </w:pPr>
    </w:lvl>
    <w:lvl w:ilvl="5" w:tplc="4009001B" w:tentative="1">
      <w:start w:val="1"/>
      <w:numFmt w:val="lowerRoman"/>
      <w:lvlText w:val="%6."/>
      <w:lvlJc w:val="right"/>
      <w:pPr>
        <w:ind w:left="4155" w:hanging="180"/>
      </w:pPr>
    </w:lvl>
    <w:lvl w:ilvl="6" w:tplc="4009000F" w:tentative="1">
      <w:start w:val="1"/>
      <w:numFmt w:val="decimal"/>
      <w:lvlText w:val="%7."/>
      <w:lvlJc w:val="left"/>
      <w:pPr>
        <w:ind w:left="4875" w:hanging="360"/>
      </w:pPr>
    </w:lvl>
    <w:lvl w:ilvl="7" w:tplc="40090019" w:tentative="1">
      <w:start w:val="1"/>
      <w:numFmt w:val="lowerLetter"/>
      <w:lvlText w:val="%8."/>
      <w:lvlJc w:val="left"/>
      <w:pPr>
        <w:ind w:left="5595" w:hanging="360"/>
      </w:pPr>
    </w:lvl>
    <w:lvl w:ilvl="8" w:tplc="4009001B" w:tentative="1">
      <w:start w:val="1"/>
      <w:numFmt w:val="lowerRoman"/>
      <w:lvlText w:val="%9."/>
      <w:lvlJc w:val="right"/>
      <w:pPr>
        <w:ind w:left="6315" w:hanging="180"/>
      </w:pPr>
    </w:lvl>
  </w:abstractNum>
  <w:abstractNum w:abstractNumId="6" w15:restartNumberingAfterBreak="0">
    <w:nsid w:val="42044BBF"/>
    <w:multiLevelType w:val="hybridMultilevel"/>
    <w:tmpl w:val="23A27466"/>
    <w:lvl w:ilvl="0" w:tplc="321A6600">
      <w:start w:val="1"/>
      <w:numFmt w:val="lowerLetter"/>
      <w:lvlText w:val="%1."/>
      <w:lvlJc w:val="left"/>
      <w:pPr>
        <w:ind w:left="1080" w:hanging="72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085AB0"/>
    <w:multiLevelType w:val="hybridMultilevel"/>
    <w:tmpl w:val="D7C66F2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53540199">
    <w:abstractNumId w:val="10"/>
  </w:num>
  <w:num w:numId="2" w16cid:durableId="622229765">
    <w:abstractNumId w:val="3"/>
  </w:num>
  <w:num w:numId="3" w16cid:durableId="1744183938">
    <w:abstractNumId w:val="8"/>
  </w:num>
  <w:num w:numId="4" w16cid:durableId="728843474">
    <w:abstractNumId w:val="1"/>
  </w:num>
  <w:num w:numId="5" w16cid:durableId="1843470861">
    <w:abstractNumId w:val="11"/>
  </w:num>
  <w:num w:numId="6" w16cid:durableId="1303192964">
    <w:abstractNumId w:val="7"/>
  </w:num>
  <w:num w:numId="7" w16cid:durableId="984890882">
    <w:abstractNumId w:val="4"/>
  </w:num>
  <w:num w:numId="8" w16cid:durableId="594748196">
    <w:abstractNumId w:val="9"/>
  </w:num>
  <w:num w:numId="9" w16cid:durableId="1565412650">
    <w:abstractNumId w:val="2"/>
  </w:num>
  <w:num w:numId="10" w16cid:durableId="322969631">
    <w:abstractNumId w:val="0"/>
  </w:num>
  <w:num w:numId="11" w16cid:durableId="984704264">
    <w:abstractNumId w:val="6"/>
  </w:num>
  <w:num w:numId="12" w16cid:durableId="80015589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4711A"/>
    <w:rsid w:val="00047DA4"/>
    <w:rsid w:val="00060961"/>
    <w:rsid w:val="00074040"/>
    <w:rsid w:val="00075012"/>
    <w:rsid w:val="000F51F9"/>
    <w:rsid w:val="000F5545"/>
    <w:rsid w:val="00165110"/>
    <w:rsid w:val="00167DD5"/>
    <w:rsid w:val="00197F76"/>
    <w:rsid w:val="001B121A"/>
    <w:rsid w:val="001D0674"/>
    <w:rsid w:val="001E5BF3"/>
    <w:rsid w:val="0022262A"/>
    <w:rsid w:val="00233463"/>
    <w:rsid w:val="00261C91"/>
    <w:rsid w:val="002745C7"/>
    <w:rsid w:val="00293458"/>
    <w:rsid w:val="00305636"/>
    <w:rsid w:val="00321C52"/>
    <w:rsid w:val="003777AD"/>
    <w:rsid w:val="0039053C"/>
    <w:rsid w:val="003A7519"/>
    <w:rsid w:val="003D7E2D"/>
    <w:rsid w:val="003E4972"/>
    <w:rsid w:val="00420BEE"/>
    <w:rsid w:val="00457EDA"/>
    <w:rsid w:val="00465BC8"/>
    <w:rsid w:val="004663C2"/>
    <w:rsid w:val="0055181B"/>
    <w:rsid w:val="005656D8"/>
    <w:rsid w:val="00570403"/>
    <w:rsid w:val="005A10C5"/>
    <w:rsid w:val="005C7FB6"/>
    <w:rsid w:val="005D2DF1"/>
    <w:rsid w:val="005D347E"/>
    <w:rsid w:val="005F0BF0"/>
    <w:rsid w:val="00620DB7"/>
    <w:rsid w:val="006A6D7A"/>
    <w:rsid w:val="006B4884"/>
    <w:rsid w:val="00704820"/>
    <w:rsid w:val="00715FAC"/>
    <w:rsid w:val="00745CFB"/>
    <w:rsid w:val="007B467A"/>
    <w:rsid w:val="007B78E0"/>
    <w:rsid w:val="007F48F9"/>
    <w:rsid w:val="00825649"/>
    <w:rsid w:val="008300AF"/>
    <w:rsid w:val="00831F15"/>
    <w:rsid w:val="00860E44"/>
    <w:rsid w:val="008738C9"/>
    <w:rsid w:val="008823F5"/>
    <w:rsid w:val="008D0427"/>
    <w:rsid w:val="008D49F0"/>
    <w:rsid w:val="00923989"/>
    <w:rsid w:val="009C1C8F"/>
    <w:rsid w:val="009E0A46"/>
    <w:rsid w:val="009E17F1"/>
    <w:rsid w:val="00A30822"/>
    <w:rsid w:val="00A35276"/>
    <w:rsid w:val="00A3618F"/>
    <w:rsid w:val="00AB0EA7"/>
    <w:rsid w:val="00AB20CB"/>
    <w:rsid w:val="00B01991"/>
    <w:rsid w:val="00B51109"/>
    <w:rsid w:val="00BA6C35"/>
    <w:rsid w:val="00C1095F"/>
    <w:rsid w:val="00C50758"/>
    <w:rsid w:val="00CA3834"/>
    <w:rsid w:val="00CC08D4"/>
    <w:rsid w:val="00CF5534"/>
    <w:rsid w:val="00D26C71"/>
    <w:rsid w:val="00D4455E"/>
    <w:rsid w:val="00D51355"/>
    <w:rsid w:val="00D74260"/>
    <w:rsid w:val="00DA39E8"/>
    <w:rsid w:val="00E43AF3"/>
    <w:rsid w:val="00E72B3F"/>
    <w:rsid w:val="00F736E3"/>
    <w:rsid w:val="00F91C60"/>
    <w:rsid w:val="00F97F63"/>
    <w:rsid w:val="00FC24BA"/>
    <w:rsid w:val="00FC29B1"/>
    <w:rsid w:val="00FC5DF0"/>
    <w:rsid w:val="00FD0EEC"/>
    <w:rsid w:val="00FD23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CC08D4"/>
    <w:pPr>
      <w:widowControl w:val="0"/>
      <w:autoSpaceDE w:val="0"/>
      <w:autoSpaceDN w:val="0"/>
      <w:spacing w:after="0" w:line="240" w:lineRule="auto"/>
    </w:pPr>
    <w:rPr>
      <w:rFonts w:ascii="Cambria" w:eastAsia="Cambria" w:hAnsi="Cambria" w:cs="Cambria"/>
      <w:lang w:val="en-US"/>
    </w:rPr>
  </w:style>
  <w:style w:type="character" w:customStyle="1" w:styleId="BodyTextChar">
    <w:name w:val="Body Text Char"/>
    <w:basedOn w:val="DefaultParagraphFont"/>
    <w:link w:val="BodyText"/>
    <w:uiPriority w:val="1"/>
    <w:rsid w:val="00CC08D4"/>
    <w:rPr>
      <w:rFonts w:ascii="Cambria" w:eastAsia="Cambria" w:hAnsi="Cambria" w:cs="Cambria"/>
      <w:lang w:val="en-US"/>
    </w:rPr>
  </w:style>
  <w:style w:type="paragraph" w:customStyle="1" w:styleId="TableParagraph">
    <w:name w:val="Table Paragraph"/>
    <w:basedOn w:val="Normal"/>
    <w:uiPriority w:val="1"/>
    <w:qFormat/>
    <w:rsid w:val="00CC08D4"/>
    <w:pPr>
      <w:widowControl w:val="0"/>
      <w:autoSpaceDE w:val="0"/>
      <w:autoSpaceDN w:val="0"/>
      <w:spacing w:after="0" w:line="240" w:lineRule="auto"/>
    </w:pPr>
    <w:rPr>
      <w:rFonts w:ascii="Cambria" w:eastAsia="Cambria" w:hAnsi="Cambria" w:cs="Cambr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AF18A1-0B3E-40D6-B3DA-E55CFAB74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6</Pages>
  <Words>1321</Words>
  <Characters>7532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150</cp:revision>
  <dcterms:created xsi:type="dcterms:W3CDTF">2025-09-18T07:53:00Z</dcterms:created>
  <dcterms:modified xsi:type="dcterms:W3CDTF">2025-10-12T06:15:00Z</dcterms:modified>
</cp:coreProperties>
</file>